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00" w:before="1800"/>
        <w:jc w:val="left"/>
      </w:pPr>
      <w:r>
        <w:drawing>
          <wp:inline distT="0" distB="0" distL="0" distR="0">
            <wp:extent cx="1143000" cy="1143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43000" cy="1143000"/>
                    </a:xfrm>
                    <a:prstGeom prst="rect">
                      <a:avLst/>
                    </a:prstGeom>
                  </pic:spPr>
                </pic:pic>
              </a:graphicData>
            </a:graphic>
          </wp:inline>
        </w:drawing>
      </w:r>
    </w:p>
    <w:p>
      <w:pPr>
        <w:spacing w:after="120"/>
      </w:pPr>
      <w:r>
        <w:rPr>
          <w:rFonts w:ascii="Arial" w:cs="Arial" w:eastAsia="Arial" w:hAnsi="Arial"/>
          <w:b/>
          <w:bCs/>
          <w:color w:val="15131C"/>
          <w:sz w:val="96"/>
          <w:szCs w:val="96"/>
        </w:rPr>
        <w:t xml:space="preserve">ATOMYX</w:t>
      </w:r>
    </w:p>
    <w:p>
      <w:pPr>
        <w:spacing w:after="400"/>
      </w:pPr>
      <w:r>
        <w:rPr>
          <w:rFonts w:ascii="Arial" w:cs="Arial" w:eastAsia="Arial" w:hAnsi="Arial"/>
          <w:color w:val="6D3FE0"/>
          <w:sz w:val="44"/>
          <w:szCs w:val="44"/>
        </w:rPr>
        <w:t xml:space="preserve">$ATMX Whitepaper</w:t>
      </w:r>
    </w:p>
    <w:p>
      <w:pPr>
        <w:pBdr>
          <w:bottom w:val="single" w:color="12A36A" w:sz="12" w:space="8"/>
        </w:pBdr>
        <w:spacing w:after="300"/>
      </w:pPr>
      <w:r>
        <w:rPr>
          <w:i/>
          <w:iCs/>
          <w:color w:val="15131C"/>
          <w:sz w:val="30"/>
          <w:szCs w:val="30"/>
        </w:rPr>
        <w:t xml:space="preserve">From waste to value.</w:t>
      </w:r>
    </w:p>
    <w:p>
      <w:r>
        <w:rPr>
          <w:color w:val="5E5A6B"/>
          <w:sz w:val="24"/>
          <w:szCs w:val="24"/>
        </w:rPr>
        <w:t xml:space="preserve">A Proof-of-Recycling network for the United States and Europe</w:t>
      </w:r>
    </w:p>
    <w:p>
      <w:pPr>
        <w:spacing w:before="200"/>
      </w:pPr>
      <w:r>
        <w:rPr>
          <w:color w:val="5E5A6B"/>
          <w:sz w:val="20"/>
          <w:szCs w:val="20"/>
        </w:rPr>
        <w:t xml:space="preserve">Version 1.0 · October 2026 · x.com/ATOMYXAI · t.me/ATOMYXAI</w:t>
      </w:r>
    </w:p>
    <w:p>
      <w:r>
        <w:br w:type="page"/>
      </w:r>
    </w:p>
    <w:p>
      <w:pPr>
        <w:pStyle w:val="Heading1"/>
      </w:pPr>
      <w:r>
        <w:t xml:space="preserve">1. Executive summary</w:t>
      </w:r>
    </w:p>
    <w:p>
      <w:pPr>
        <w:spacing w:after="160"/>
      </w:pPr>
      <w:r>
        <w:t xml:space="preserve">ATOMYX is a waste collection and recycling network for the United States and Europe. It uses AI to sort waste and a blockchain ledger to record every kilogram that is verified as recycled. ATOMYX does not invent new recycling technology. It connects proven commercial tools: IoT scales at drop-off points, AI cameras and robot pickers in sorting stations, and mechanical and chemical recycling at partner plants, all tied together by one data trail.</w:t>
      </w:r>
    </w:p>
    <w:p>
      <w:pPr>
        <w:spacing w:after="160"/>
      </w:pPr>
      <w:r>
        <w:t xml:space="preserve">The </w:t>
      </w:r>
      <w:r>
        <w:rPr>
          <w:b/>
          <w:bCs/>
        </w:rPr>
        <w:t xml:space="preserve">$ATMX</w:t>
      </w:r>
      <w:r>
        <w:t xml:space="preserve"> token rewards residents and collectors by the weight of recycled waste that has been verified, pays for services inside the network, and gives holders a say in how the network is run. Revenue comes from selling recycled materials, plastic credits and business services. It does not depend on issuing new tokens.</w:t>
      </w:r>
    </w:p>
    <w:p>
      <w:pPr>
        <w:spacing w:after="160"/>
      </w:pPr>
      <w:r>
        <w:rPr>
          <w:b/>
          <w:bCs/>
        </w:rPr>
        <w:t xml:space="preserve">Slogan:</w:t>
      </w:r>
      <w:r>
        <w:t xml:space="preserve"> From waste to value.</w:t>
      </w:r>
    </w:p>
    <w:p>
      <w:pPr>
        <w:pStyle w:val="Heading1"/>
      </w:pPr>
      <w:r>
        <w:t xml:space="preserve">2. The problem: waste grows faster than we can recycle it</w:t>
      </w:r>
    </w:p>
    <w:p>
      <w:pPr>
        <w:spacing w:after="160"/>
      </w:pPr>
      <w:r>
        <w:t xml:space="preserve">The United States produced about </w:t>
      </w:r>
      <w:r>
        <w:rPr>
          <w:b/>
          <w:bCs/>
        </w:rPr>
        <w:t xml:space="preserve">292.4 million tons</w:t>
      </w:r>
      <w:r>
        <w:t xml:space="preserve"> of municipal solid waste in 2018, and recycled only about </w:t>
      </w:r>
      <w:r>
        <w:rPr>
          <w:b/>
          <w:bCs/>
        </w:rPr>
        <w:t xml:space="preserve">9%</w:t>
      </w:r>
      <w:r>
        <w:t xml:space="preserve"> of its plastics (</w:t>
      </w:r>
      <w:hyperlink w:history="1" r:id="rIdbrzcgio0mdmdq_hqxb40d">
        <w:r>
          <w:rPr>
            <w:color w:val="6D3FE0"/>
            <w:u w:val="single"/>
          </w:rPr>
          <w:t xml:space="preserve">US EPA</w:t>
        </w:r>
      </w:hyperlink>
      <w:r>
        <w:t xml:space="preserve">). The European Union recycled </w:t>
      </w:r>
      <w:r>
        <w:rPr>
          <w:b/>
          <w:bCs/>
        </w:rPr>
        <w:t xml:space="preserve">41%</w:t>
      </w:r>
      <w:r>
        <w:t xml:space="preserve"> of its plastic packaging waste in 2022, which means most of it was still burned, landfilled or exported; each EU resident generated </w:t>
      </w:r>
      <w:r>
        <w:rPr>
          <w:b/>
          <w:bCs/>
        </w:rPr>
        <w:t xml:space="preserve">36.1 kg</w:t>
      </w:r>
      <w:r>
        <w:t xml:space="preserve"> of plastic packaging waste that year (</w:t>
      </w:r>
      <w:hyperlink w:history="1" r:id="rIdy6frnat20d6luyrvzinj5">
        <w:r>
          <w:rPr>
            <w:color w:val="6D3FE0"/>
            <w:u w:val="single"/>
          </w:rPr>
          <w:t xml:space="preserve">Eurostat</w:t>
        </w:r>
      </w:hyperlink>
      <w:r>
        <w:t xml:space="preserve">).</w:t>
      </w:r>
    </w:p>
    <w:p>
      <w:pPr>
        <w:pStyle w:val="ListParagraph"/>
        <w:numPr>
          <w:ilvl w:val="0"/>
          <w:numId w:val="2"/>
        </w:numPr>
        <w:spacing w:after="80"/>
      </w:pPr>
      <w:r>
        <w:rPr>
          <w:b/>
          <w:bCs/>
        </w:rPr>
        <w:t xml:space="preserve">Poor sorting at the source:</w:t>
      </w:r>
      <w:r>
        <w:t xml:space="preserve"> mixed waste loses its value and makes manual sorting expensive.</w:t>
      </w:r>
    </w:p>
    <w:p>
      <w:pPr>
        <w:pStyle w:val="ListParagraph"/>
        <w:numPr>
          <w:ilvl w:val="0"/>
          <w:numId w:val="2"/>
        </w:numPr>
        <w:spacing w:after="80"/>
      </w:pPr>
      <w:r>
        <w:rPr>
          <w:b/>
          <w:bCs/>
        </w:rPr>
        <w:t xml:space="preserve">Collectors go unrewarded:</w:t>
      </w:r>
      <w:r>
        <w:t xml:space="preserve"> independent collectors, small haulers and scrap yards do much of the work, earn little and leave no data.</w:t>
      </w:r>
    </w:p>
    <w:p>
      <w:pPr>
        <w:pStyle w:val="ListParagraph"/>
        <w:numPr>
          <w:ilvl w:val="0"/>
          <w:numId w:val="2"/>
        </w:numPr>
        <w:spacing w:after="80"/>
      </w:pPr>
      <w:r>
        <w:rPr>
          <w:b/>
          <w:bCs/>
        </w:rPr>
        <w:t xml:space="preserve">No transparency:</w:t>
      </w:r>
      <w:r>
        <w:t xml:space="preserve"> brands and municipalities cannot prove how much plastic was really collected and recycled.</w:t>
      </w:r>
    </w:p>
    <w:p>
      <w:pPr>
        <w:pStyle w:val="ListParagraph"/>
        <w:numPr>
          <w:ilvl w:val="0"/>
          <w:numId w:val="2"/>
        </w:numPr>
        <w:spacing w:after="80"/>
      </w:pPr>
      <w:r>
        <w:rPr>
          <w:b/>
          <w:bCs/>
        </w:rPr>
        <w:t xml:space="preserve">Doubtful ESG and plastic credits:</w:t>
      </w:r>
      <w:r>
        <w:t xml:space="preserve"> paper-based inputs are hard to verify independently, just as EU and US rules start asking for proof.</w:t>
      </w:r>
    </w:p>
    <w:p>
      <w:pPr>
        <w:spacing w:after="160"/>
      </w:pPr>
      <w:r>
        <w:t xml:space="preserve">ATOMYX focuses on three things: getting more waste sorted correctly, paying the people who collect it, and producing data that can be checked for every kilogram.</w:t>
      </w:r>
    </w:p>
    <w:p>
      <w:pPr>
        <w:pStyle w:val="Heading1"/>
      </w:pPr>
      <w:r>
        <w:t xml:space="preserve">3. Technology and operations</w:t>
      </w:r>
    </w:p>
    <w:p>
      <w:pPr>
        <w:spacing w:after="160"/>
      </w:pPr>
      <w:r>
        <w:t xml:space="preserve">ATOMYX links technology that is already in commercial use into one closed loop, and every step produces data that can be checked.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112"/>
        <w:gridCol w:w="3456"/>
        <w:gridCol w:w="3458"/>
      </w:tblGrid>
      <w:tr>
        <w:trPr>
          <w:cantSplit/>
          <w:tblHeader/>
        </w:trPr>
        <w:tc>
          <w:tcPr>
            <w:tcW w:type="dxa" w:w="2112"/>
            <w:tcBorders>
              <w:top w:val="single" w:color="DAD6E4" w:sz="4"/>
              <w:left w:val="single" w:color="DAD6E4" w:sz="4"/>
              <w:bottom w:val="single" w:color="DAD6E4" w:sz="4"/>
              <w:right w:val="single" w:color="DAD6E4" w:sz="4"/>
            </w:tcBorders>
            <w:shd w:fill="1E1A2B" w:color="auto" w:val="clear"/>
            <w:tcMar>
              <w:top w:type="dxa" w:w="90"/>
              <w:left w:type="dxa" w:w="120"/>
              <w:bottom w:type="dxa" w:w="90"/>
              <w:right w:type="dxa" w:w="120"/>
            </w:tcMar>
          </w:tcPr>
          <w:p>
            <w:pPr>
              <w:spacing w:after="0"/>
            </w:pPr>
            <w:r>
              <w:rPr>
                <w:b/>
                <w:bCs/>
                <w:color w:val="FFFFFF"/>
                <w:sz w:val="19"/>
                <w:szCs w:val="19"/>
              </w:rPr>
              <w:t xml:space="preserve">Component</w:t>
            </w:r>
          </w:p>
        </w:tc>
        <w:tc>
          <w:tcPr>
            <w:tcW w:type="dxa" w:w="3456"/>
            <w:tcBorders>
              <w:top w:val="single" w:color="DAD6E4" w:sz="4"/>
              <w:left w:val="single" w:color="DAD6E4" w:sz="4"/>
              <w:bottom w:val="single" w:color="DAD6E4" w:sz="4"/>
              <w:right w:val="single" w:color="DAD6E4" w:sz="4"/>
            </w:tcBorders>
            <w:shd w:fill="1E1A2B" w:color="auto" w:val="clear"/>
            <w:tcMar>
              <w:top w:type="dxa" w:w="90"/>
              <w:left w:type="dxa" w:w="120"/>
              <w:bottom w:type="dxa" w:w="90"/>
              <w:right w:type="dxa" w:w="120"/>
            </w:tcMar>
          </w:tcPr>
          <w:p>
            <w:pPr>
              <w:spacing w:after="0"/>
            </w:pPr>
            <w:r>
              <w:rPr>
                <w:b/>
                <w:bCs/>
                <w:color w:val="FFFFFF"/>
                <w:sz w:val="19"/>
                <w:szCs w:val="19"/>
              </w:rPr>
              <w:t xml:space="preserve">Technology</w:t>
            </w:r>
          </w:p>
        </w:tc>
        <w:tc>
          <w:tcPr>
            <w:tcW w:type="dxa" w:w="3458"/>
            <w:tcBorders>
              <w:top w:val="single" w:color="DAD6E4" w:sz="4"/>
              <w:left w:val="single" w:color="DAD6E4" w:sz="4"/>
              <w:bottom w:val="single" w:color="DAD6E4" w:sz="4"/>
              <w:right w:val="single" w:color="DAD6E4" w:sz="4"/>
            </w:tcBorders>
            <w:shd w:fill="1E1A2B" w:color="auto" w:val="clear"/>
            <w:tcMar>
              <w:top w:type="dxa" w:w="90"/>
              <w:left w:type="dxa" w:w="120"/>
              <w:bottom w:type="dxa" w:w="90"/>
              <w:right w:type="dxa" w:w="120"/>
            </w:tcMar>
          </w:tcPr>
          <w:p>
            <w:pPr>
              <w:spacing w:after="0"/>
            </w:pPr>
            <w:r>
              <w:rPr>
                <w:b/>
                <w:bCs/>
                <w:color w:val="FFFFFF"/>
                <w:sz w:val="19"/>
                <w:szCs w:val="19"/>
              </w:rPr>
              <w:t xml:space="preserve">Role</w:t>
            </w:r>
          </w:p>
        </w:tc>
      </w:tr>
      <w:tr>
        <w:trPr>
          <w:cantSplit/>
          <w:tblHeader w:val="false"/>
        </w:trPr>
        <w:tc>
          <w:tcPr>
            <w:tcW w:type="dxa" w:w="2112"/>
            <w:tcBorders>
              <w:top w:val="single" w:color="DAD6E4" w:sz="4"/>
              <w:left w:val="single" w:color="DAD6E4" w:sz="4"/>
              <w:bottom w:val="single" w:color="DAD6E4" w:sz="4"/>
              <w:right w:val="single" w:color="DAD6E4" w:sz="4"/>
            </w:tcBorders>
            <w:tcMar>
              <w:top w:type="dxa" w:w="90"/>
              <w:left w:type="dxa" w:w="120"/>
              <w:bottom w:type="dxa" w:w="90"/>
              <w:right w:type="dxa" w:w="120"/>
            </w:tcMar>
          </w:tcPr>
          <w:p>
            <w:pPr>
              <w:spacing w:after="0"/>
            </w:pPr>
            <w:r>
              <w:rPr>
                <w:sz w:val="19"/>
                <w:szCs w:val="19"/>
              </w:rPr>
              <w:t xml:space="preserve">ATOMYX Point</w:t>
            </w:r>
          </w:p>
        </w:tc>
        <w:tc>
          <w:tcPr>
            <w:tcW w:type="dxa" w:w="3456"/>
            <w:tcBorders>
              <w:top w:val="single" w:color="DAD6E4" w:sz="4"/>
              <w:left w:val="single" w:color="DAD6E4" w:sz="4"/>
              <w:bottom w:val="single" w:color="DAD6E4" w:sz="4"/>
              <w:right w:val="single" w:color="DAD6E4" w:sz="4"/>
            </w:tcBorders>
            <w:tcMar>
              <w:top w:type="dxa" w:w="90"/>
              <w:left w:type="dxa" w:w="120"/>
              <w:bottom w:type="dxa" w:w="90"/>
              <w:right w:type="dxa" w:w="120"/>
            </w:tcMar>
          </w:tcPr>
          <w:p>
            <w:pPr>
              <w:spacing w:after="0"/>
            </w:pPr>
            <w:r>
              <w:rPr>
                <w:sz w:val="19"/>
                <w:szCs w:val="19"/>
              </w:rPr>
              <w:t xml:space="preserve">Drop-off point with IoT scales, cameras and QR check-in</w:t>
            </w:r>
          </w:p>
        </w:tc>
        <w:tc>
          <w:tcPr>
            <w:tcW w:type="dxa" w:w="3458"/>
            <w:tcBorders>
              <w:top w:val="single" w:color="DAD6E4" w:sz="4"/>
              <w:left w:val="single" w:color="DAD6E4" w:sz="4"/>
              <w:bottom w:val="single" w:color="DAD6E4" w:sz="4"/>
              <w:right w:val="single" w:color="DAD6E4" w:sz="4"/>
            </w:tcBorders>
            <w:tcMar>
              <w:top w:type="dxa" w:w="90"/>
              <w:left w:type="dxa" w:w="120"/>
              <w:bottom w:type="dxa" w:w="90"/>
              <w:right w:type="dxa" w:w="120"/>
            </w:tcMar>
          </w:tcPr>
          <w:p>
            <w:pPr>
              <w:spacing w:after="0"/>
            </w:pPr>
            <w:r>
              <w:rPr>
                <w:sz w:val="19"/>
                <w:szCs w:val="19"/>
              </w:rPr>
              <w:t xml:space="preserve">Residents and collectors drop off sorted waste; the weight is recorded, photographed and logged</w:t>
            </w:r>
          </w:p>
        </w:tc>
      </w:tr>
      <w:tr>
        <w:trPr>
          <w:cantSplit/>
          <w:tblHeader w:val="false"/>
        </w:trPr>
        <w:tc>
          <w:tcPr>
            <w:tcW w:type="dxa" w:w="2112"/>
            <w:tcBorders>
              <w:top w:val="single" w:color="DAD6E4" w:sz="4"/>
              <w:left w:val="single" w:color="DAD6E4" w:sz="4"/>
              <w:bottom w:val="single" w:color="DAD6E4" w:sz="4"/>
              <w:right w:val="single" w:color="DAD6E4" w:sz="4"/>
            </w:tcBorders>
            <w:shd w:fill="F6F4FA" w:color="auto" w:val="clear"/>
            <w:tcMar>
              <w:top w:type="dxa" w:w="90"/>
              <w:left w:type="dxa" w:w="120"/>
              <w:bottom w:type="dxa" w:w="90"/>
              <w:right w:type="dxa" w:w="120"/>
            </w:tcMar>
          </w:tcPr>
          <w:p>
            <w:pPr>
              <w:spacing w:after="0"/>
            </w:pPr>
            <w:r>
              <w:rPr>
                <w:sz w:val="19"/>
                <w:szCs w:val="19"/>
              </w:rPr>
              <w:t xml:space="preserve">ATOMYX Collect</w:t>
            </w:r>
          </w:p>
        </w:tc>
        <w:tc>
          <w:tcPr>
            <w:tcW w:type="dxa" w:w="3456"/>
            <w:tcBorders>
              <w:top w:val="single" w:color="DAD6E4" w:sz="4"/>
              <w:left w:val="single" w:color="DAD6E4" w:sz="4"/>
              <w:bottom w:val="single" w:color="DAD6E4" w:sz="4"/>
              <w:right w:val="single" w:color="DAD6E4" w:sz="4"/>
            </w:tcBorders>
            <w:shd w:fill="F6F4FA" w:color="auto" w:val="clear"/>
            <w:tcMar>
              <w:top w:type="dxa" w:w="90"/>
              <w:left w:type="dxa" w:w="120"/>
              <w:bottom w:type="dxa" w:w="90"/>
              <w:right w:type="dxa" w:w="120"/>
            </w:tcMar>
          </w:tcPr>
          <w:p>
            <w:pPr>
              <w:spacing w:after="0"/>
            </w:pPr>
            <w:r>
              <w:rPr>
                <w:sz w:val="19"/>
                <w:szCs w:val="19"/>
              </w:rPr>
              <w:t xml:space="preserve">Mobile app for collectors with GPS tracking</w:t>
            </w:r>
          </w:p>
        </w:tc>
        <w:tc>
          <w:tcPr>
            <w:tcW w:type="dxa" w:w="3458"/>
            <w:tcBorders>
              <w:top w:val="single" w:color="DAD6E4" w:sz="4"/>
              <w:left w:val="single" w:color="DAD6E4" w:sz="4"/>
              <w:bottom w:val="single" w:color="DAD6E4" w:sz="4"/>
              <w:right w:val="single" w:color="DAD6E4" w:sz="4"/>
            </w:tcBorders>
            <w:shd w:fill="F6F4FA" w:color="auto" w:val="clear"/>
            <w:tcMar>
              <w:top w:type="dxa" w:w="90"/>
              <w:left w:type="dxa" w:w="120"/>
              <w:bottom w:type="dxa" w:w="90"/>
              <w:right w:type="dxa" w:w="120"/>
            </w:tcMar>
          </w:tcPr>
          <w:p>
            <w:pPr>
              <w:spacing w:after="0"/>
            </w:pPr>
            <w:r>
              <w:rPr>
                <w:sz w:val="19"/>
                <w:szCs w:val="19"/>
              </w:rPr>
              <w:t xml:space="preserve">Logs each collection trip, its weight and the waste's origin</w:t>
            </w:r>
          </w:p>
        </w:tc>
      </w:tr>
      <w:tr>
        <w:trPr>
          <w:cantSplit/>
          <w:tblHeader w:val="false"/>
        </w:trPr>
        <w:tc>
          <w:tcPr>
            <w:tcW w:type="dxa" w:w="2112"/>
            <w:tcBorders>
              <w:top w:val="single" w:color="DAD6E4" w:sz="4"/>
              <w:left w:val="single" w:color="DAD6E4" w:sz="4"/>
              <w:bottom w:val="single" w:color="DAD6E4" w:sz="4"/>
              <w:right w:val="single" w:color="DAD6E4" w:sz="4"/>
            </w:tcBorders>
            <w:tcMar>
              <w:top w:type="dxa" w:w="90"/>
              <w:left w:type="dxa" w:w="120"/>
              <w:bottom w:type="dxa" w:w="90"/>
              <w:right w:type="dxa" w:w="120"/>
            </w:tcMar>
          </w:tcPr>
          <w:p>
            <w:pPr>
              <w:spacing w:after="0"/>
            </w:pPr>
            <w:r>
              <w:rPr>
                <w:sz w:val="19"/>
                <w:szCs w:val="19"/>
              </w:rPr>
              <w:t xml:space="preserve">ATOMYX Sort</w:t>
            </w:r>
          </w:p>
        </w:tc>
        <w:tc>
          <w:tcPr>
            <w:tcW w:type="dxa" w:w="3456"/>
            <w:tcBorders>
              <w:top w:val="single" w:color="DAD6E4" w:sz="4"/>
              <w:left w:val="single" w:color="DAD6E4" w:sz="4"/>
              <w:bottom w:val="single" w:color="DAD6E4" w:sz="4"/>
              <w:right w:val="single" w:color="DAD6E4" w:sz="4"/>
            </w:tcBorders>
            <w:tcMar>
              <w:top w:type="dxa" w:w="90"/>
              <w:left w:type="dxa" w:w="120"/>
              <w:bottom w:type="dxa" w:w="90"/>
              <w:right w:type="dxa" w:w="120"/>
            </w:tcMar>
          </w:tcPr>
          <w:p>
            <w:pPr>
              <w:spacing w:after="0"/>
            </w:pPr>
            <w:r>
              <w:rPr>
                <w:sz w:val="19"/>
                <w:szCs w:val="19"/>
              </w:rPr>
              <w:t xml:space="preserve">Sorting station with AI cameras, near-infrared (NIR) sensors and robot pickers</w:t>
            </w:r>
          </w:p>
        </w:tc>
        <w:tc>
          <w:tcPr>
            <w:tcW w:type="dxa" w:w="3458"/>
            <w:tcBorders>
              <w:top w:val="single" w:color="DAD6E4" w:sz="4"/>
              <w:left w:val="single" w:color="DAD6E4" w:sz="4"/>
              <w:bottom w:val="single" w:color="DAD6E4" w:sz="4"/>
              <w:right w:val="single" w:color="DAD6E4" w:sz="4"/>
            </w:tcBorders>
            <w:tcMar>
              <w:top w:type="dxa" w:w="90"/>
              <w:left w:type="dxa" w:w="120"/>
              <w:bottom w:type="dxa" w:w="90"/>
              <w:right w:type="dxa" w:w="120"/>
            </w:tcMar>
          </w:tcPr>
          <w:p>
            <w:pPr>
              <w:spacing w:after="0"/>
            </w:pPr>
            <w:r>
              <w:rPr>
                <w:sz w:val="19"/>
                <w:szCs w:val="19"/>
              </w:rPr>
              <w:t xml:space="preserve">Sorts by plastic type (PET, HDPE, PP…), metal and paper</w:t>
            </w:r>
          </w:p>
        </w:tc>
      </w:tr>
      <w:tr>
        <w:trPr>
          <w:cantSplit/>
          <w:tblHeader w:val="false"/>
        </w:trPr>
        <w:tc>
          <w:tcPr>
            <w:tcW w:type="dxa" w:w="2112"/>
            <w:tcBorders>
              <w:top w:val="single" w:color="DAD6E4" w:sz="4"/>
              <w:left w:val="single" w:color="DAD6E4" w:sz="4"/>
              <w:bottom w:val="single" w:color="DAD6E4" w:sz="4"/>
              <w:right w:val="single" w:color="DAD6E4" w:sz="4"/>
            </w:tcBorders>
            <w:shd w:fill="F6F4FA" w:color="auto" w:val="clear"/>
            <w:tcMar>
              <w:top w:type="dxa" w:w="90"/>
              <w:left w:type="dxa" w:w="120"/>
              <w:bottom w:type="dxa" w:w="90"/>
              <w:right w:type="dxa" w:w="120"/>
            </w:tcMar>
          </w:tcPr>
          <w:p>
            <w:pPr>
              <w:spacing w:after="0"/>
            </w:pPr>
            <w:r>
              <w:rPr>
                <w:sz w:val="19"/>
                <w:szCs w:val="19"/>
              </w:rPr>
              <w:t xml:space="preserve">ATOMYX Process</w:t>
            </w:r>
          </w:p>
        </w:tc>
        <w:tc>
          <w:tcPr>
            <w:tcW w:type="dxa" w:w="3456"/>
            <w:tcBorders>
              <w:top w:val="single" w:color="DAD6E4" w:sz="4"/>
              <w:left w:val="single" w:color="DAD6E4" w:sz="4"/>
              <w:bottom w:val="single" w:color="DAD6E4" w:sz="4"/>
              <w:right w:val="single" w:color="DAD6E4" w:sz="4"/>
            </w:tcBorders>
            <w:shd w:fill="F6F4FA" w:color="auto" w:val="clear"/>
            <w:tcMar>
              <w:top w:type="dxa" w:w="90"/>
              <w:left w:type="dxa" w:w="120"/>
              <w:bottom w:type="dxa" w:w="90"/>
              <w:right w:type="dxa" w:w="120"/>
            </w:tcMar>
          </w:tcPr>
          <w:p>
            <w:pPr>
              <w:spacing w:after="0"/>
            </w:pPr>
            <w:r>
              <w:rPr>
                <w:sz w:val="19"/>
                <w:szCs w:val="19"/>
              </w:rPr>
              <w:t xml:space="preserve">Partner recycling plants: mechanical recycling, plastic pyrolysis, e-waste metal recovery</w:t>
            </w:r>
          </w:p>
        </w:tc>
        <w:tc>
          <w:tcPr>
            <w:tcW w:type="dxa" w:w="3458"/>
            <w:tcBorders>
              <w:top w:val="single" w:color="DAD6E4" w:sz="4"/>
              <w:left w:val="single" w:color="DAD6E4" w:sz="4"/>
              <w:bottom w:val="single" w:color="DAD6E4" w:sz="4"/>
              <w:right w:val="single" w:color="DAD6E4" w:sz="4"/>
            </w:tcBorders>
            <w:shd w:fill="F6F4FA" w:color="auto" w:val="clear"/>
            <w:tcMar>
              <w:top w:type="dxa" w:w="90"/>
              <w:left w:type="dxa" w:w="120"/>
              <w:bottom w:type="dxa" w:w="90"/>
              <w:right w:type="dxa" w:w="120"/>
            </w:tcMar>
          </w:tcPr>
          <w:p>
            <w:pPr>
              <w:spacing w:after="0"/>
            </w:pPr>
            <w:r>
              <w:rPr>
                <w:sz w:val="19"/>
                <w:szCs w:val="19"/>
              </w:rPr>
              <w:t xml:space="preserve">Turns sorted waste into recycled resin, fuel and recovered metals</w:t>
            </w:r>
          </w:p>
        </w:tc>
      </w:tr>
      <w:tr>
        <w:trPr>
          <w:cantSplit/>
          <w:tblHeader w:val="false"/>
        </w:trPr>
        <w:tc>
          <w:tcPr>
            <w:tcW w:type="dxa" w:w="2112"/>
            <w:tcBorders>
              <w:top w:val="single" w:color="DAD6E4" w:sz="4"/>
              <w:left w:val="single" w:color="DAD6E4" w:sz="4"/>
              <w:bottom w:val="single" w:color="DAD6E4" w:sz="4"/>
              <w:right w:val="single" w:color="DAD6E4" w:sz="4"/>
            </w:tcBorders>
            <w:tcMar>
              <w:top w:type="dxa" w:w="90"/>
              <w:left w:type="dxa" w:w="120"/>
              <w:bottom w:type="dxa" w:w="90"/>
              <w:right w:type="dxa" w:w="120"/>
            </w:tcMar>
          </w:tcPr>
          <w:p>
            <w:pPr>
              <w:spacing w:after="0"/>
            </w:pPr>
            <w:r>
              <w:rPr>
                <w:sz w:val="19"/>
                <w:szCs w:val="19"/>
              </w:rPr>
              <w:t xml:space="preserve">ATOMYX Ledger</w:t>
            </w:r>
          </w:p>
        </w:tc>
        <w:tc>
          <w:tcPr>
            <w:tcW w:type="dxa" w:w="3456"/>
            <w:tcBorders>
              <w:top w:val="single" w:color="DAD6E4" w:sz="4"/>
              <w:left w:val="single" w:color="DAD6E4" w:sz="4"/>
              <w:bottom w:val="single" w:color="DAD6E4" w:sz="4"/>
              <w:right w:val="single" w:color="DAD6E4" w:sz="4"/>
            </w:tcBorders>
            <w:tcMar>
              <w:top w:type="dxa" w:w="90"/>
              <w:left w:type="dxa" w:w="120"/>
              <w:bottom w:type="dxa" w:w="90"/>
              <w:right w:type="dxa" w:w="120"/>
            </w:tcMar>
          </w:tcPr>
          <w:p>
            <w:pPr>
              <w:spacing w:after="0"/>
            </w:pPr>
            <w:r>
              <w:rPr>
                <w:sz w:val="19"/>
                <w:szCs w:val="19"/>
              </w:rPr>
              <w:t xml:space="preserve">Blockchain that records the data</w:t>
            </w:r>
          </w:p>
        </w:tc>
        <w:tc>
          <w:tcPr>
            <w:tcW w:type="dxa" w:w="3458"/>
            <w:tcBorders>
              <w:top w:val="single" w:color="DAD6E4" w:sz="4"/>
              <w:left w:val="single" w:color="DAD6E4" w:sz="4"/>
              <w:bottom w:val="single" w:color="DAD6E4" w:sz="4"/>
              <w:right w:val="single" w:color="DAD6E4" w:sz="4"/>
            </w:tcBorders>
            <w:tcMar>
              <w:top w:type="dxa" w:w="90"/>
              <w:left w:type="dxa" w:w="120"/>
              <w:bottom w:type="dxa" w:w="90"/>
              <w:right w:type="dxa" w:w="120"/>
            </w:tcMar>
          </w:tcPr>
          <w:p>
            <w:pPr>
              <w:spacing w:after="0"/>
            </w:pPr>
            <w:r>
              <w:rPr>
                <w:sz w:val="19"/>
                <w:szCs w:val="19"/>
              </w:rPr>
              <w:t xml:space="preserve">Logs each batch from drop-off to recycler, open for audit</w:t>
            </w:r>
          </w:p>
        </w:tc>
      </w:tr>
    </w:tbl>
    <w:p>
      <w:pPr>
        <w:spacing w:after="120"/>
      </w:pPr>
    </w:p>
    <w:p>
      <w:pPr>
        <w:spacing w:after="160"/>
      </w:pPr>
      <w:r>
        <w:rPr>
          <w:b/>
          <w:bCs/>
        </w:rPr>
        <w:t xml:space="preserve">Flow:</w:t>
      </w:r>
      <w:r>
        <w:t xml:space="preserve"> collect → weigh and photograph at the Point → move to the sorting station → AI sort and reweigh → partner recycler confirms receipt → every step is recorded on-chain.</w:t>
      </w:r>
    </w:p>
    <w:p>
      <w:pPr>
        <w:spacing w:after="160"/>
      </w:pPr>
      <w:r>
        <w:rPr>
          <w:b/>
          <w:bCs/>
        </w:rPr>
        <w:t xml:space="preserve">Measurement, reporting and verification (MRV):</w:t>
      </w:r>
      <w:r>
        <w:t xml:space="preserve"> each batch gets a unique ID. Its weight is matched at three points: the drop-off Point, the sorting station and the recycler's receipt. If the figures differ by more than 5%, the batch is held for review. ATOMYX aims to meet the </w:t>
      </w:r>
      <w:hyperlink w:history="1" r:id="rIdt2dcmvtfmnhudqjljgfhu">
        <w:r>
          <w:rPr>
            <w:color w:val="6D3FE0"/>
            <w:u w:val="single"/>
          </w:rPr>
          <w:t xml:space="preserve">Verra Plastic Program</w:t>
        </w:r>
      </w:hyperlink>
      <w:r>
        <w:t xml:space="preserve"> standard so it can issue collection and recycling credits.</w:t>
      </w:r>
    </w:p>
    <w:p>
      <w:pPr>
        <w:pStyle w:val="Heading1"/>
      </w:pPr>
      <w:r>
        <w:t xml:space="preserve">4. The $ATMX token and Proof-of-Recycling</w:t>
      </w:r>
    </w:p>
    <w:p>
      <w:pPr>
        <w:spacing w:after="160"/>
      </w:pPr>
      <w:r>
        <w:t xml:space="preserve">$ATMX has a fixed supply of 1,000,000,000 tokens. There is no mining, and no new tokens are ever issued. Recycling rewards come from a pre-allocated community pool and are paid by the weight of waste that has passed verification.</w:t>
      </w:r>
    </w:p>
    <w:p>
      <w:pPr>
        <w:pStyle w:val="ListParagraph"/>
        <w:numPr>
          <w:ilvl w:val="0"/>
          <w:numId w:val="3"/>
        </w:numPr>
        <w:spacing w:after="80"/>
      </w:pPr>
      <w:r>
        <w:t xml:space="preserve">A resident or collector delivers waste to an ATOMYX Point; its weight and type are recorded.</w:t>
      </w:r>
    </w:p>
    <w:p>
      <w:pPr>
        <w:pStyle w:val="ListParagraph"/>
        <w:numPr>
          <w:ilvl w:val="0"/>
          <w:numId w:val="3"/>
        </w:numPr>
        <w:spacing w:after="80"/>
      </w:pPr>
      <w:r>
        <w:t xml:space="preserve">The batch passes the sorting station and the partner recycler confirms receipt.</w:t>
      </w:r>
    </w:p>
    <w:p>
      <w:pPr>
        <w:pStyle w:val="ListParagraph"/>
        <w:numPr>
          <w:ilvl w:val="0"/>
          <w:numId w:val="3"/>
        </w:numPr>
        <w:spacing w:after="80"/>
      </w:pPr>
      <w:r>
        <w:t xml:space="preserve">When the data at all three checkpoints match, a smart contract pays $ATMX to the person who delivered it, at the current reward rate.</w:t>
      </w:r>
    </w:p>
    <w:p>
      <w:pPr>
        <w:spacing w:after="160"/>
      </w:pPr>
      <w:r>
        <w:rPr>
          <w:b/>
          <w:bCs/>
        </w:rPr>
        <w:t xml:space="preserve">Reward rate:</w:t>
      </w:r>
      <w:r>
        <w:t xml:space="preserve"> set in $ATMX per kilogram and different for each material, depending on its recycling value. The DAO adjusts the rate by vote so the community pool lasts for many years.</w:t>
      </w:r>
    </w:p>
    <w:p>
      <w:pPr>
        <w:spacing w:after="160"/>
      </w:pPr>
      <w:r>
        <w:rPr>
          <w:b/>
          <w:bCs/>
        </w:rPr>
        <w:t xml:space="preserve">What the token is used for:</w:t>
      </w:r>
    </w:p>
    <w:p>
      <w:pPr>
        <w:pStyle w:val="ListParagraph"/>
        <w:numPr>
          <w:ilvl w:val="0"/>
          <w:numId w:val="2"/>
        </w:numPr>
        <w:spacing w:after="80"/>
      </w:pPr>
      <w:r>
        <w:rPr>
          <w:b/>
          <w:bCs/>
        </w:rPr>
        <w:t xml:space="preserve">Collection rewards:</w:t>
      </w:r>
      <w:r>
        <w:t xml:space="preserve"> paid to residents and collectors by verified weight</w:t>
      </w:r>
    </w:p>
    <w:p>
      <w:pPr>
        <w:pStyle w:val="ListParagraph"/>
        <w:numPr>
          <w:ilvl w:val="0"/>
          <w:numId w:val="2"/>
        </w:numPr>
        <w:spacing w:after="80"/>
      </w:pPr>
      <w:r>
        <w:rPr>
          <w:b/>
          <w:bCs/>
        </w:rPr>
        <w:t xml:space="preserve">Paying for services:</w:t>
      </w:r>
      <w:r>
        <w:t xml:space="preserve"> door-to-door pickup and weight reports for businesses</w:t>
      </w:r>
    </w:p>
    <w:p>
      <w:pPr>
        <w:pStyle w:val="ListParagraph"/>
        <w:numPr>
          <w:ilvl w:val="0"/>
          <w:numId w:val="2"/>
        </w:numPr>
        <w:spacing w:after="80"/>
      </w:pPr>
      <w:r>
        <w:rPr>
          <w:b/>
          <w:bCs/>
        </w:rPr>
        <w:t xml:space="preserve">Operator staking:</w:t>
      </w:r>
      <w:r>
        <w:t xml:space="preserve"> Point operators stake $ATMX as a bond and lose part of it if they report false weights</w:t>
      </w:r>
    </w:p>
    <w:p>
      <w:pPr>
        <w:pStyle w:val="ListParagraph"/>
        <w:numPr>
          <w:ilvl w:val="0"/>
          <w:numId w:val="2"/>
        </w:numPr>
        <w:spacing w:after="80"/>
      </w:pPr>
      <w:r>
        <w:rPr>
          <w:b/>
          <w:bCs/>
        </w:rPr>
        <w:t xml:space="preserve">Governance:</w:t>
      </w:r>
      <w:r>
        <w:t xml:space="preserve"> voting on reward rates, new cities in the US and Europe, and the environment fund</w:t>
      </w:r>
    </w:p>
    <w:p>
      <w:pPr>
        <w:spacing w:after="160"/>
      </w:pPr>
      <w:r>
        <w:rPr>
          <w:b/>
          <w:bCs/>
        </w:rPr>
        <w:t xml:space="preserve">Revenue model:</w:t>
      </w:r>
      <w:r>
        <w:t xml:space="preserve"> sales of sorted recycled materials; sales of plastic credits once certified; collection fees and reports for businesses. Part of the revenue, at a rate set by the DAO, buys $ATMX on the market to refill the reward pool or to burn.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6018"/>
      </w:tblGrid>
      <w:tr>
        <w:trPr>
          <w:cantSplit/>
          <w:tblHeader/>
        </w:trPr>
        <w:tc>
          <w:tcPr>
            <w:tcW w:type="dxa" w:w="3008"/>
            <w:tcBorders>
              <w:top w:val="single" w:color="DAD6E4" w:sz="4"/>
              <w:left w:val="single" w:color="DAD6E4" w:sz="4"/>
              <w:bottom w:val="single" w:color="DAD6E4" w:sz="4"/>
              <w:right w:val="single" w:color="DAD6E4" w:sz="4"/>
            </w:tcBorders>
            <w:shd w:fill="1E1A2B" w:color="auto" w:val="clear"/>
            <w:tcMar>
              <w:top w:type="dxa" w:w="90"/>
              <w:left w:type="dxa" w:w="120"/>
              <w:bottom w:type="dxa" w:w="90"/>
              <w:right w:type="dxa" w:w="120"/>
            </w:tcMar>
          </w:tcPr>
          <w:p>
            <w:pPr>
              <w:spacing w:after="0"/>
            </w:pPr>
            <w:r>
              <w:rPr>
                <w:b/>
                <w:bCs/>
                <w:color w:val="FFFFFF"/>
                <w:sz w:val="19"/>
                <w:szCs w:val="19"/>
              </w:rPr>
              <w:t xml:space="preserve">Item</w:t>
            </w:r>
          </w:p>
        </w:tc>
        <w:tc>
          <w:tcPr>
            <w:tcW w:type="dxa" w:w="6018"/>
            <w:tcBorders>
              <w:top w:val="single" w:color="DAD6E4" w:sz="4"/>
              <w:left w:val="single" w:color="DAD6E4" w:sz="4"/>
              <w:bottom w:val="single" w:color="DAD6E4" w:sz="4"/>
              <w:right w:val="single" w:color="DAD6E4" w:sz="4"/>
            </w:tcBorders>
            <w:shd w:fill="1E1A2B" w:color="auto" w:val="clear"/>
            <w:tcMar>
              <w:top w:type="dxa" w:w="90"/>
              <w:left w:type="dxa" w:w="120"/>
              <w:bottom w:type="dxa" w:w="90"/>
              <w:right w:type="dxa" w:w="120"/>
            </w:tcMar>
          </w:tcPr>
          <w:p>
            <w:pPr>
              <w:spacing w:after="0"/>
            </w:pPr>
            <w:r>
              <w:rPr>
                <w:b/>
                <w:bCs/>
                <w:color w:val="FFFFFF"/>
                <w:sz w:val="19"/>
                <w:szCs w:val="19"/>
              </w:rPr>
              <w:t xml:space="preserve">Value</w:t>
            </w:r>
          </w:p>
        </w:tc>
      </w:tr>
      <w:tr>
        <w:trPr>
          <w:cantSplit/>
          <w:tblHeader w:val="false"/>
        </w:trPr>
        <w:tc>
          <w:tcPr>
            <w:tcW w:type="dxa" w:w="3008"/>
            <w:tcBorders>
              <w:top w:val="single" w:color="DAD6E4" w:sz="4"/>
              <w:left w:val="single" w:color="DAD6E4" w:sz="4"/>
              <w:bottom w:val="single" w:color="DAD6E4" w:sz="4"/>
              <w:right w:val="single" w:color="DAD6E4" w:sz="4"/>
            </w:tcBorders>
            <w:tcMar>
              <w:top w:type="dxa" w:w="90"/>
              <w:left w:type="dxa" w:w="120"/>
              <w:bottom w:type="dxa" w:w="90"/>
              <w:right w:type="dxa" w:w="120"/>
            </w:tcMar>
          </w:tcPr>
          <w:p>
            <w:pPr>
              <w:spacing w:after="0"/>
            </w:pPr>
            <w:r>
              <w:rPr>
                <w:sz w:val="19"/>
                <w:szCs w:val="19"/>
              </w:rPr>
              <w:t xml:space="preserve">Name</w:t>
            </w:r>
          </w:p>
        </w:tc>
        <w:tc>
          <w:tcPr>
            <w:tcW w:type="dxa" w:w="6018"/>
            <w:tcBorders>
              <w:top w:val="single" w:color="DAD6E4" w:sz="4"/>
              <w:left w:val="single" w:color="DAD6E4" w:sz="4"/>
              <w:bottom w:val="single" w:color="DAD6E4" w:sz="4"/>
              <w:right w:val="single" w:color="DAD6E4" w:sz="4"/>
            </w:tcBorders>
            <w:tcMar>
              <w:top w:type="dxa" w:w="90"/>
              <w:left w:type="dxa" w:w="120"/>
              <w:bottom w:type="dxa" w:w="90"/>
              <w:right w:type="dxa" w:w="120"/>
            </w:tcMar>
          </w:tcPr>
          <w:p>
            <w:pPr>
              <w:spacing w:after="0"/>
            </w:pPr>
            <w:r>
              <w:rPr>
                <w:sz w:val="19"/>
                <w:szCs w:val="19"/>
              </w:rPr>
              <w:t xml:space="preserve">ATOMYX</w:t>
            </w:r>
          </w:p>
        </w:tc>
      </w:tr>
      <w:tr>
        <w:trPr>
          <w:cantSplit/>
          <w:tblHeader w:val="false"/>
        </w:trPr>
        <w:tc>
          <w:tcPr>
            <w:tcW w:type="dxa" w:w="3008"/>
            <w:tcBorders>
              <w:top w:val="single" w:color="DAD6E4" w:sz="4"/>
              <w:left w:val="single" w:color="DAD6E4" w:sz="4"/>
              <w:bottom w:val="single" w:color="DAD6E4" w:sz="4"/>
              <w:right w:val="single" w:color="DAD6E4" w:sz="4"/>
            </w:tcBorders>
            <w:shd w:fill="F6F4FA" w:color="auto" w:val="clear"/>
            <w:tcMar>
              <w:top w:type="dxa" w:w="90"/>
              <w:left w:type="dxa" w:w="120"/>
              <w:bottom w:type="dxa" w:w="90"/>
              <w:right w:type="dxa" w:w="120"/>
            </w:tcMar>
          </w:tcPr>
          <w:p>
            <w:pPr>
              <w:spacing w:after="0"/>
            </w:pPr>
            <w:r>
              <w:rPr>
                <w:sz w:val="19"/>
                <w:szCs w:val="19"/>
              </w:rPr>
              <w:t xml:space="preserve">Ticker</w:t>
            </w:r>
          </w:p>
        </w:tc>
        <w:tc>
          <w:tcPr>
            <w:tcW w:type="dxa" w:w="6018"/>
            <w:tcBorders>
              <w:top w:val="single" w:color="DAD6E4" w:sz="4"/>
              <w:left w:val="single" w:color="DAD6E4" w:sz="4"/>
              <w:bottom w:val="single" w:color="DAD6E4" w:sz="4"/>
              <w:right w:val="single" w:color="DAD6E4" w:sz="4"/>
            </w:tcBorders>
            <w:shd w:fill="F6F4FA" w:color="auto" w:val="clear"/>
            <w:tcMar>
              <w:top w:type="dxa" w:w="90"/>
              <w:left w:type="dxa" w:w="120"/>
              <w:bottom w:type="dxa" w:w="90"/>
              <w:right w:type="dxa" w:w="120"/>
            </w:tcMar>
          </w:tcPr>
          <w:p>
            <w:pPr>
              <w:spacing w:after="0"/>
            </w:pPr>
            <w:r>
              <w:rPr>
                <w:sz w:val="19"/>
                <w:szCs w:val="19"/>
              </w:rPr>
              <w:t xml:space="preserve">$ATMX</w:t>
            </w:r>
          </w:p>
        </w:tc>
      </w:tr>
      <w:tr>
        <w:trPr>
          <w:cantSplit/>
          <w:tblHeader w:val="false"/>
        </w:trPr>
        <w:tc>
          <w:tcPr>
            <w:tcW w:type="dxa" w:w="3008"/>
            <w:tcBorders>
              <w:top w:val="single" w:color="DAD6E4" w:sz="4"/>
              <w:left w:val="single" w:color="DAD6E4" w:sz="4"/>
              <w:bottom w:val="single" w:color="DAD6E4" w:sz="4"/>
              <w:right w:val="single" w:color="DAD6E4" w:sz="4"/>
            </w:tcBorders>
            <w:tcMar>
              <w:top w:type="dxa" w:w="90"/>
              <w:left w:type="dxa" w:w="120"/>
              <w:bottom w:type="dxa" w:w="90"/>
              <w:right w:type="dxa" w:w="120"/>
            </w:tcMar>
          </w:tcPr>
          <w:p>
            <w:pPr>
              <w:spacing w:after="0"/>
            </w:pPr>
            <w:r>
              <w:rPr>
                <w:sz w:val="19"/>
                <w:szCs w:val="19"/>
              </w:rPr>
              <w:t xml:space="preserve">Max supply</w:t>
            </w:r>
          </w:p>
        </w:tc>
        <w:tc>
          <w:tcPr>
            <w:tcW w:type="dxa" w:w="6018"/>
            <w:tcBorders>
              <w:top w:val="single" w:color="DAD6E4" w:sz="4"/>
              <w:left w:val="single" w:color="DAD6E4" w:sz="4"/>
              <w:bottom w:val="single" w:color="DAD6E4" w:sz="4"/>
              <w:right w:val="single" w:color="DAD6E4" w:sz="4"/>
            </w:tcBorders>
            <w:tcMar>
              <w:top w:type="dxa" w:w="90"/>
              <w:left w:type="dxa" w:w="120"/>
              <w:bottom w:type="dxa" w:w="90"/>
              <w:right w:type="dxa" w:w="120"/>
            </w:tcMar>
          </w:tcPr>
          <w:p>
            <w:pPr>
              <w:spacing w:after="0"/>
            </w:pPr>
            <w:r>
              <w:rPr>
                <w:sz w:val="19"/>
                <w:szCs w:val="19"/>
              </w:rPr>
              <w:t xml:space="preserve">1,000,000,000 (fixed)</w:t>
            </w:r>
          </w:p>
        </w:tc>
      </w:tr>
      <w:tr>
        <w:trPr>
          <w:cantSplit/>
          <w:tblHeader w:val="false"/>
        </w:trPr>
        <w:tc>
          <w:tcPr>
            <w:tcW w:type="dxa" w:w="3008"/>
            <w:tcBorders>
              <w:top w:val="single" w:color="DAD6E4" w:sz="4"/>
              <w:left w:val="single" w:color="DAD6E4" w:sz="4"/>
              <w:bottom w:val="single" w:color="DAD6E4" w:sz="4"/>
              <w:right w:val="single" w:color="DAD6E4" w:sz="4"/>
            </w:tcBorders>
            <w:shd w:fill="F6F4FA" w:color="auto" w:val="clear"/>
            <w:tcMar>
              <w:top w:type="dxa" w:w="90"/>
              <w:left w:type="dxa" w:w="120"/>
              <w:bottom w:type="dxa" w:w="90"/>
              <w:right w:type="dxa" w:w="120"/>
            </w:tcMar>
          </w:tcPr>
          <w:p>
            <w:pPr>
              <w:spacing w:after="0"/>
            </w:pPr>
            <w:r>
              <w:rPr>
                <w:sz w:val="19"/>
                <w:szCs w:val="19"/>
              </w:rPr>
              <w:t xml:space="preserve">Network</w:t>
            </w:r>
          </w:p>
        </w:tc>
        <w:tc>
          <w:tcPr>
            <w:tcW w:type="dxa" w:w="6018"/>
            <w:tcBorders>
              <w:top w:val="single" w:color="DAD6E4" w:sz="4"/>
              <w:left w:val="single" w:color="DAD6E4" w:sz="4"/>
              <w:bottom w:val="single" w:color="DAD6E4" w:sz="4"/>
              <w:right w:val="single" w:color="DAD6E4" w:sz="4"/>
            </w:tcBorders>
            <w:shd w:fill="F6F4FA" w:color="auto" w:val="clear"/>
            <w:tcMar>
              <w:top w:type="dxa" w:w="90"/>
              <w:left w:type="dxa" w:w="120"/>
              <w:bottom w:type="dxa" w:w="90"/>
              <w:right w:type="dxa" w:w="120"/>
            </w:tcMar>
          </w:tcPr>
          <w:p>
            <w:pPr>
              <w:spacing w:after="0"/>
            </w:pPr>
            <w:r>
              <w:rPr>
                <w:sz w:val="19"/>
                <w:szCs w:val="19"/>
              </w:rPr>
              <w:t xml:space="preserve">EVM-compatible blockchain, final choice before launch</w:t>
            </w:r>
          </w:p>
        </w:tc>
      </w:tr>
      <w:tr>
        <w:trPr>
          <w:cantSplit/>
          <w:tblHeader w:val="false"/>
        </w:trPr>
        <w:tc>
          <w:tcPr>
            <w:tcW w:type="dxa" w:w="3008"/>
            <w:tcBorders>
              <w:top w:val="single" w:color="DAD6E4" w:sz="4"/>
              <w:left w:val="single" w:color="DAD6E4" w:sz="4"/>
              <w:bottom w:val="single" w:color="DAD6E4" w:sz="4"/>
              <w:right w:val="single" w:color="DAD6E4" w:sz="4"/>
            </w:tcBorders>
            <w:tcMar>
              <w:top w:type="dxa" w:w="90"/>
              <w:left w:type="dxa" w:w="120"/>
              <w:bottom w:type="dxa" w:w="90"/>
              <w:right w:type="dxa" w:w="120"/>
            </w:tcMar>
          </w:tcPr>
          <w:p>
            <w:pPr>
              <w:spacing w:after="0"/>
            </w:pPr>
            <w:r>
              <w:rPr>
                <w:sz w:val="19"/>
                <w:szCs w:val="19"/>
              </w:rPr>
              <w:t xml:space="preserve">Distribution</w:t>
            </w:r>
          </w:p>
        </w:tc>
        <w:tc>
          <w:tcPr>
            <w:tcW w:type="dxa" w:w="6018"/>
            <w:tcBorders>
              <w:top w:val="single" w:color="DAD6E4" w:sz="4"/>
              <w:left w:val="single" w:color="DAD6E4" w:sz="4"/>
              <w:bottom w:val="single" w:color="DAD6E4" w:sz="4"/>
              <w:right w:val="single" w:color="DAD6E4" w:sz="4"/>
            </w:tcBorders>
            <w:tcMar>
              <w:top w:type="dxa" w:w="90"/>
              <w:left w:type="dxa" w:w="120"/>
              <w:bottom w:type="dxa" w:w="90"/>
              <w:right w:type="dxa" w:w="120"/>
            </w:tcMar>
          </w:tcPr>
          <w:p>
            <w:pPr>
              <w:spacing w:after="0"/>
            </w:pPr>
            <w:r>
              <w:rPr>
                <w:sz w:val="19"/>
                <w:szCs w:val="19"/>
              </w:rPr>
              <w:t xml:space="preserve">Proof-of-Recycling, paid from the community pool</w:t>
            </w:r>
          </w:p>
        </w:tc>
      </w:tr>
    </w:tbl>
    <w:p>
      <w:pPr>
        <w:spacing w:after="120"/>
      </w:pPr>
    </w:p>
    <w:p>
      <w:pPr>
        <w:pStyle w:val="Heading1"/>
      </w:pPr>
      <w:r>
        <w:t xml:space="preserve">5. Tokenomics</w:t>
      </w:r>
    </w:p>
    <w:p>
      <w:pPr>
        <w:spacing w:after="160"/>
      </w:pPr>
      <w:r>
        <w:t xml:space="preserve">35% of the total supply goes to the community and is paid out over time as recycling rewards for verified weight. Team and partner vesting is written into the smart contract and published on-chain.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196"/>
        <w:gridCol w:w="1128"/>
        <w:gridCol w:w="1880"/>
        <w:gridCol w:w="2822"/>
      </w:tblGrid>
      <w:tr>
        <w:trPr>
          <w:cantSplit/>
          <w:tblHeader/>
        </w:trPr>
        <w:tc>
          <w:tcPr>
            <w:tcW w:type="dxa" w:w="3196"/>
            <w:tcBorders>
              <w:top w:val="single" w:color="DAD6E4" w:sz="4"/>
              <w:left w:val="single" w:color="DAD6E4" w:sz="4"/>
              <w:bottom w:val="single" w:color="DAD6E4" w:sz="4"/>
              <w:right w:val="single" w:color="DAD6E4" w:sz="4"/>
            </w:tcBorders>
            <w:shd w:fill="1E1A2B" w:color="auto" w:val="clear"/>
            <w:tcMar>
              <w:top w:type="dxa" w:w="90"/>
              <w:left w:type="dxa" w:w="120"/>
              <w:bottom w:type="dxa" w:w="90"/>
              <w:right w:type="dxa" w:w="120"/>
            </w:tcMar>
          </w:tcPr>
          <w:p>
            <w:pPr>
              <w:spacing w:after="0"/>
            </w:pPr>
            <w:r>
              <w:rPr>
                <w:b/>
                <w:bCs/>
                <w:color w:val="FFFFFF"/>
                <w:sz w:val="19"/>
                <w:szCs w:val="19"/>
              </w:rPr>
              <w:t xml:space="preserve">Allocation</w:t>
            </w:r>
          </w:p>
        </w:tc>
        <w:tc>
          <w:tcPr>
            <w:tcW w:type="dxa" w:w="1128"/>
            <w:tcBorders>
              <w:top w:val="single" w:color="DAD6E4" w:sz="4"/>
              <w:left w:val="single" w:color="DAD6E4" w:sz="4"/>
              <w:bottom w:val="single" w:color="DAD6E4" w:sz="4"/>
              <w:right w:val="single" w:color="DAD6E4" w:sz="4"/>
            </w:tcBorders>
            <w:shd w:fill="1E1A2B" w:color="auto" w:val="clear"/>
            <w:tcMar>
              <w:top w:type="dxa" w:w="90"/>
              <w:left w:type="dxa" w:w="120"/>
              <w:bottom w:type="dxa" w:w="90"/>
              <w:right w:type="dxa" w:w="120"/>
            </w:tcMar>
          </w:tcPr>
          <w:p>
            <w:pPr>
              <w:spacing w:after="0"/>
            </w:pPr>
            <w:r>
              <w:rPr>
                <w:b/>
                <w:bCs/>
                <w:color w:val="FFFFFF"/>
                <w:sz w:val="19"/>
                <w:szCs w:val="19"/>
              </w:rPr>
              <w:t xml:space="preserve">Share</w:t>
            </w:r>
          </w:p>
        </w:tc>
        <w:tc>
          <w:tcPr>
            <w:tcW w:type="dxa" w:w="1880"/>
            <w:tcBorders>
              <w:top w:val="single" w:color="DAD6E4" w:sz="4"/>
              <w:left w:val="single" w:color="DAD6E4" w:sz="4"/>
              <w:bottom w:val="single" w:color="DAD6E4" w:sz="4"/>
              <w:right w:val="single" w:color="DAD6E4" w:sz="4"/>
            </w:tcBorders>
            <w:shd w:fill="1E1A2B" w:color="auto" w:val="clear"/>
            <w:tcMar>
              <w:top w:type="dxa" w:w="90"/>
              <w:left w:type="dxa" w:w="120"/>
              <w:bottom w:type="dxa" w:w="90"/>
              <w:right w:type="dxa" w:w="120"/>
            </w:tcMar>
          </w:tcPr>
          <w:p>
            <w:pPr>
              <w:spacing w:after="0"/>
            </w:pPr>
            <w:r>
              <w:rPr>
                <w:b/>
                <w:bCs/>
                <w:color w:val="FFFFFF"/>
                <w:sz w:val="19"/>
                <w:szCs w:val="19"/>
              </w:rPr>
              <w:t xml:space="preserve">$ATMX</w:t>
            </w:r>
          </w:p>
        </w:tc>
        <w:tc>
          <w:tcPr>
            <w:tcW w:type="dxa" w:w="2822"/>
            <w:tcBorders>
              <w:top w:val="single" w:color="DAD6E4" w:sz="4"/>
              <w:left w:val="single" w:color="DAD6E4" w:sz="4"/>
              <w:bottom w:val="single" w:color="DAD6E4" w:sz="4"/>
              <w:right w:val="single" w:color="DAD6E4" w:sz="4"/>
            </w:tcBorders>
            <w:shd w:fill="1E1A2B" w:color="auto" w:val="clear"/>
            <w:tcMar>
              <w:top w:type="dxa" w:w="90"/>
              <w:left w:type="dxa" w:w="120"/>
              <w:bottom w:type="dxa" w:w="90"/>
              <w:right w:type="dxa" w:w="120"/>
            </w:tcMar>
          </w:tcPr>
          <w:p>
            <w:pPr>
              <w:spacing w:after="0"/>
            </w:pPr>
            <w:r>
              <w:rPr>
                <w:b/>
                <w:bCs/>
                <w:color w:val="FFFFFF"/>
                <w:sz w:val="19"/>
                <w:szCs w:val="19"/>
              </w:rPr>
              <w:t xml:space="preserve">Unlock</w:t>
            </w:r>
          </w:p>
        </w:tc>
      </w:tr>
      <w:tr>
        <w:trPr>
          <w:cantSplit/>
          <w:tblHeader w:val="false"/>
        </w:trPr>
        <w:tc>
          <w:tcPr>
            <w:tcW w:type="dxa" w:w="3196"/>
            <w:tcBorders>
              <w:top w:val="single" w:color="DAD6E4" w:sz="4"/>
              <w:left w:val="single" w:color="DAD6E4" w:sz="4"/>
              <w:bottom w:val="single" w:color="DAD6E4" w:sz="4"/>
              <w:right w:val="single" w:color="DAD6E4" w:sz="4"/>
            </w:tcBorders>
            <w:tcMar>
              <w:top w:type="dxa" w:w="90"/>
              <w:left w:type="dxa" w:w="120"/>
              <w:bottom w:type="dxa" w:w="90"/>
              <w:right w:type="dxa" w:w="120"/>
            </w:tcMar>
          </w:tcPr>
          <w:p>
            <w:pPr>
              <w:spacing w:after="0"/>
            </w:pPr>
            <w:r>
              <w:rPr>
                <w:sz w:val="19"/>
                <w:szCs w:val="19"/>
              </w:rPr>
              <w:t xml:space="preserve">Community &amp; recycling rewards</w:t>
            </w:r>
          </w:p>
        </w:tc>
        <w:tc>
          <w:tcPr>
            <w:tcW w:type="dxa" w:w="1128"/>
            <w:tcBorders>
              <w:top w:val="single" w:color="DAD6E4" w:sz="4"/>
              <w:left w:val="single" w:color="DAD6E4" w:sz="4"/>
              <w:bottom w:val="single" w:color="DAD6E4" w:sz="4"/>
              <w:right w:val="single" w:color="DAD6E4" w:sz="4"/>
            </w:tcBorders>
            <w:tcMar>
              <w:top w:type="dxa" w:w="90"/>
              <w:left w:type="dxa" w:w="120"/>
              <w:bottom w:type="dxa" w:w="90"/>
              <w:right w:type="dxa" w:w="120"/>
            </w:tcMar>
          </w:tcPr>
          <w:p>
            <w:pPr>
              <w:spacing w:after="0"/>
            </w:pPr>
            <w:r>
              <w:rPr>
                <w:sz w:val="19"/>
                <w:szCs w:val="19"/>
              </w:rPr>
              <w:t xml:space="preserve">35%</w:t>
            </w:r>
          </w:p>
        </w:tc>
        <w:tc>
          <w:tcPr>
            <w:tcW w:type="dxa" w:w="1880"/>
            <w:tcBorders>
              <w:top w:val="single" w:color="DAD6E4" w:sz="4"/>
              <w:left w:val="single" w:color="DAD6E4" w:sz="4"/>
              <w:bottom w:val="single" w:color="DAD6E4" w:sz="4"/>
              <w:right w:val="single" w:color="DAD6E4" w:sz="4"/>
            </w:tcBorders>
            <w:tcMar>
              <w:top w:type="dxa" w:w="90"/>
              <w:left w:type="dxa" w:w="120"/>
              <w:bottom w:type="dxa" w:w="90"/>
              <w:right w:type="dxa" w:w="120"/>
            </w:tcMar>
          </w:tcPr>
          <w:p>
            <w:pPr>
              <w:spacing w:after="0"/>
            </w:pPr>
            <w:r>
              <w:rPr>
                <w:sz w:val="19"/>
                <w:szCs w:val="19"/>
              </w:rPr>
              <w:t xml:space="preserve">350,000,000</w:t>
            </w:r>
          </w:p>
        </w:tc>
        <w:tc>
          <w:tcPr>
            <w:tcW w:type="dxa" w:w="2822"/>
            <w:tcBorders>
              <w:top w:val="single" w:color="DAD6E4" w:sz="4"/>
              <w:left w:val="single" w:color="DAD6E4" w:sz="4"/>
              <w:bottom w:val="single" w:color="DAD6E4" w:sz="4"/>
              <w:right w:val="single" w:color="DAD6E4" w:sz="4"/>
            </w:tcBorders>
            <w:tcMar>
              <w:top w:type="dxa" w:w="90"/>
              <w:left w:type="dxa" w:w="120"/>
              <w:bottom w:type="dxa" w:w="90"/>
              <w:right w:type="dxa" w:w="120"/>
            </w:tcMar>
          </w:tcPr>
          <w:p>
            <w:pPr>
              <w:spacing w:after="0"/>
            </w:pPr>
            <w:r>
              <w:rPr>
                <w:sz w:val="19"/>
                <w:szCs w:val="19"/>
              </w:rPr>
              <w:t xml:space="preserve">Paid out by verified recycled weight</w:t>
            </w:r>
          </w:p>
        </w:tc>
      </w:tr>
      <w:tr>
        <w:trPr>
          <w:cantSplit/>
          <w:tblHeader w:val="false"/>
        </w:trPr>
        <w:tc>
          <w:tcPr>
            <w:tcW w:type="dxa" w:w="3196"/>
            <w:tcBorders>
              <w:top w:val="single" w:color="DAD6E4" w:sz="4"/>
              <w:left w:val="single" w:color="DAD6E4" w:sz="4"/>
              <w:bottom w:val="single" w:color="DAD6E4" w:sz="4"/>
              <w:right w:val="single" w:color="DAD6E4" w:sz="4"/>
            </w:tcBorders>
            <w:shd w:fill="F6F4FA" w:color="auto" w:val="clear"/>
            <w:tcMar>
              <w:top w:type="dxa" w:w="90"/>
              <w:left w:type="dxa" w:w="120"/>
              <w:bottom w:type="dxa" w:w="90"/>
              <w:right w:type="dxa" w:w="120"/>
            </w:tcMar>
          </w:tcPr>
          <w:p>
            <w:pPr>
              <w:spacing w:after="0"/>
            </w:pPr>
            <w:r>
              <w:rPr>
                <w:sz w:val="19"/>
                <w:szCs w:val="19"/>
              </w:rPr>
              <w:t xml:space="preserve">Collection points &amp; sorting operations</w:t>
            </w:r>
          </w:p>
        </w:tc>
        <w:tc>
          <w:tcPr>
            <w:tcW w:type="dxa" w:w="1128"/>
            <w:tcBorders>
              <w:top w:val="single" w:color="DAD6E4" w:sz="4"/>
              <w:left w:val="single" w:color="DAD6E4" w:sz="4"/>
              <w:bottom w:val="single" w:color="DAD6E4" w:sz="4"/>
              <w:right w:val="single" w:color="DAD6E4" w:sz="4"/>
            </w:tcBorders>
            <w:shd w:fill="F6F4FA" w:color="auto" w:val="clear"/>
            <w:tcMar>
              <w:top w:type="dxa" w:w="90"/>
              <w:left w:type="dxa" w:w="120"/>
              <w:bottom w:type="dxa" w:w="90"/>
              <w:right w:type="dxa" w:w="120"/>
            </w:tcMar>
          </w:tcPr>
          <w:p>
            <w:pPr>
              <w:spacing w:after="0"/>
            </w:pPr>
            <w:r>
              <w:rPr>
                <w:sz w:val="19"/>
                <w:szCs w:val="19"/>
              </w:rPr>
              <w:t xml:space="preserve">20%</w:t>
            </w:r>
          </w:p>
        </w:tc>
        <w:tc>
          <w:tcPr>
            <w:tcW w:type="dxa" w:w="1880"/>
            <w:tcBorders>
              <w:top w:val="single" w:color="DAD6E4" w:sz="4"/>
              <w:left w:val="single" w:color="DAD6E4" w:sz="4"/>
              <w:bottom w:val="single" w:color="DAD6E4" w:sz="4"/>
              <w:right w:val="single" w:color="DAD6E4" w:sz="4"/>
            </w:tcBorders>
            <w:shd w:fill="F6F4FA" w:color="auto" w:val="clear"/>
            <w:tcMar>
              <w:top w:type="dxa" w:w="90"/>
              <w:left w:type="dxa" w:w="120"/>
              <w:bottom w:type="dxa" w:w="90"/>
              <w:right w:type="dxa" w:w="120"/>
            </w:tcMar>
          </w:tcPr>
          <w:p>
            <w:pPr>
              <w:spacing w:after="0"/>
            </w:pPr>
            <w:r>
              <w:rPr>
                <w:sz w:val="19"/>
                <w:szCs w:val="19"/>
              </w:rPr>
              <w:t xml:space="preserve">200,000,000</w:t>
            </w:r>
          </w:p>
        </w:tc>
        <w:tc>
          <w:tcPr>
            <w:tcW w:type="dxa" w:w="2822"/>
            <w:tcBorders>
              <w:top w:val="single" w:color="DAD6E4" w:sz="4"/>
              <w:left w:val="single" w:color="DAD6E4" w:sz="4"/>
              <w:bottom w:val="single" w:color="DAD6E4" w:sz="4"/>
              <w:right w:val="single" w:color="DAD6E4" w:sz="4"/>
            </w:tcBorders>
            <w:shd w:fill="F6F4FA" w:color="auto" w:val="clear"/>
            <w:tcMar>
              <w:top w:type="dxa" w:w="90"/>
              <w:left w:type="dxa" w:w="120"/>
              <w:bottom w:type="dxa" w:w="90"/>
              <w:right w:type="dxa" w:w="120"/>
            </w:tcMar>
          </w:tcPr>
          <w:p>
            <w:pPr>
              <w:spacing w:after="0"/>
            </w:pPr>
            <w:r>
              <w:rPr>
                <w:sz w:val="19"/>
                <w:szCs w:val="19"/>
              </w:rPr>
              <w:t xml:space="preserve">6-month lock, 24-month vesting</w:t>
            </w:r>
          </w:p>
        </w:tc>
      </w:tr>
      <w:tr>
        <w:trPr>
          <w:cantSplit/>
          <w:tblHeader w:val="false"/>
        </w:trPr>
        <w:tc>
          <w:tcPr>
            <w:tcW w:type="dxa" w:w="3196"/>
            <w:tcBorders>
              <w:top w:val="single" w:color="DAD6E4" w:sz="4"/>
              <w:left w:val="single" w:color="DAD6E4" w:sz="4"/>
              <w:bottom w:val="single" w:color="DAD6E4" w:sz="4"/>
              <w:right w:val="single" w:color="DAD6E4" w:sz="4"/>
            </w:tcBorders>
            <w:tcMar>
              <w:top w:type="dxa" w:w="90"/>
              <w:left w:type="dxa" w:w="120"/>
              <w:bottom w:type="dxa" w:w="90"/>
              <w:right w:type="dxa" w:w="120"/>
            </w:tcMar>
          </w:tcPr>
          <w:p>
            <w:pPr>
              <w:spacing w:after="0"/>
            </w:pPr>
            <w:r>
              <w:rPr>
                <w:sz w:val="19"/>
                <w:szCs w:val="19"/>
              </w:rPr>
              <w:t xml:space="preserve">Liquidity</w:t>
            </w:r>
          </w:p>
        </w:tc>
        <w:tc>
          <w:tcPr>
            <w:tcW w:type="dxa" w:w="1128"/>
            <w:tcBorders>
              <w:top w:val="single" w:color="DAD6E4" w:sz="4"/>
              <w:left w:val="single" w:color="DAD6E4" w:sz="4"/>
              <w:bottom w:val="single" w:color="DAD6E4" w:sz="4"/>
              <w:right w:val="single" w:color="DAD6E4" w:sz="4"/>
            </w:tcBorders>
            <w:tcMar>
              <w:top w:type="dxa" w:w="90"/>
              <w:left w:type="dxa" w:w="120"/>
              <w:bottom w:type="dxa" w:w="90"/>
              <w:right w:type="dxa" w:w="120"/>
            </w:tcMar>
          </w:tcPr>
          <w:p>
            <w:pPr>
              <w:spacing w:after="0"/>
            </w:pPr>
            <w:r>
              <w:rPr>
                <w:sz w:val="19"/>
                <w:szCs w:val="19"/>
              </w:rPr>
              <w:t xml:space="preserve">15%</w:t>
            </w:r>
          </w:p>
        </w:tc>
        <w:tc>
          <w:tcPr>
            <w:tcW w:type="dxa" w:w="1880"/>
            <w:tcBorders>
              <w:top w:val="single" w:color="DAD6E4" w:sz="4"/>
              <w:left w:val="single" w:color="DAD6E4" w:sz="4"/>
              <w:bottom w:val="single" w:color="DAD6E4" w:sz="4"/>
              <w:right w:val="single" w:color="DAD6E4" w:sz="4"/>
            </w:tcBorders>
            <w:tcMar>
              <w:top w:type="dxa" w:w="90"/>
              <w:left w:type="dxa" w:w="120"/>
              <w:bottom w:type="dxa" w:w="90"/>
              <w:right w:type="dxa" w:w="120"/>
            </w:tcMar>
          </w:tcPr>
          <w:p>
            <w:pPr>
              <w:spacing w:after="0"/>
            </w:pPr>
            <w:r>
              <w:rPr>
                <w:sz w:val="19"/>
                <w:szCs w:val="19"/>
              </w:rPr>
              <w:t xml:space="preserve">150,000,000</w:t>
            </w:r>
          </w:p>
        </w:tc>
        <w:tc>
          <w:tcPr>
            <w:tcW w:type="dxa" w:w="2822"/>
            <w:tcBorders>
              <w:top w:val="single" w:color="DAD6E4" w:sz="4"/>
              <w:left w:val="single" w:color="DAD6E4" w:sz="4"/>
              <w:bottom w:val="single" w:color="DAD6E4" w:sz="4"/>
              <w:right w:val="single" w:color="DAD6E4" w:sz="4"/>
            </w:tcBorders>
            <w:tcMar>
              <w:top w:type="dxa" w:w="90"/>
              <w:left w:type="dxa" w:w="120"/>
              <w:bottom w:type="dxa" w:w="90"/>
              <w:right w:type="dxa" w:w="120"/>
            </w:tcMar>
          </w:tcPr>
          <w:p>
            <w:pPr>
              <w:spacing w:after="0"/>
            </w:pPr>
            <w:r>
              <w:rPr>
                <w:sz w:val="19"/>
                <w:szCs w:val="19"/>
              </w:rPr>
              <w:t xml:space="preserve">Unlocked at launch</w:t>
            </w:r>
          </w:p>
        </w:tc>
      </w:tr>
      <w:tr>
        <w:trPr>
          <w:cantSplit/>
          <w:tblHeader w:val="false"/>
        </w:trPr>
        <w:tc>
          <w:tcPr>
            <w:tcW w:type="dxa" w:w="3196"/>
            <w:tcBorders>
              <w:top w:val="single" w:color="DAD6E4" w:sz="4"/>
              <w:left w:val="single" w:color="DAD6E4" w:sz="4"/>
              <w:bottom w:val="single" w:color="DAD6E4" w:sz="4"/>
              <w:right w:val="single" w:color="DAD6E4" w:sz="4"/>
            </w:tcBorders>
            <w:shd w:fill="F6F4FA" w:color="auto" w:val="clear"/>
            <w:tcMar>
              <w:top w:type="dxa" w:w="90"/>
              <w:left w:type="dxa" w:w="120"/>
              <w:bottom w:type="dxa" w:w="90"/>
              <w:right w:type="dxa" w:w="120"/>
            </w:tcMar>
          </w:tcPr>
          <w:p>
            <w:pPr>
              <w:spacing w:after="0"/>
            </w:pPr>
            <w:r>
              <w:rPr>
                <w:sz w:val="19"/>
                <w:szCs w:val="19"/>
              </w:rPr>
              <w:t xml:space="preserve">Team</w:t>
            </w:r>
          </w:p>
        </w:tc>
        <w:tc>
          <w:tcPr>
            <w:tcW w:type="dxa" w:w="1128"/>
            <w:tcBorders>
              <w:top w:val="single" w:color="DAD6E4" w:sz="4"/>
              <w:left w:val="single" w:color="DAD6E4" w:sz="4"/>
              <w:bottom w:val="single" w:color="DAD6E4" w:sz="4"/>
              <w:right w:val="single" w:color="DAD6E4" w:sz="4"/>
            </w:tcBorders>
            <w:shd w:fill="F6F4FA" w:color="auto" w:val="clear"/>
            <w:tcMar>
              <w:top w:type="dxa" w:w="90"/>
              <w:left w:type="dxa" w:w="120"/>
              <w:bottom w:type="dxa" w:w="90"/>
              <w:right w:type="dxa" w:w="120"/>
            </w:tcMar>
          </w:tcPr>
          <w:p>
            <w:pPr>
              <w:spacing w:after="0"/>
            </w:pPr>
            <w:r>
              <w:rPr>
                <w:sz w:val="19"/>
                <w:szCs w:val="19"/>
              </w:rPr>
              <w:t xml:space="preserve">10%</w:t>
            </w:r>
          </w:p>
        </w:tc>
        <w:tc>
          <w:tcPr>
            <w:tcW w:type="dxa" w:w="1880"/>
            <w:tcBorders>
              <w:top w:val="single" w:color="DAD6E4" w:sz="4"/>
              <w:left w:val="single" w:color="DAD6E4" w:sz="4"/>
              <w:bottom w:val="single" w:color="DAD6E4" w:sz="4"/>
              <w:right w:val="single" w:color="DAD6E4" w:sz="4"/>
            </w:tcBorders>
            <w:shd w:fill="F6F4FA" w:color="auto" w:val="clear"/>
            <w:tcMar>
              <w:top w:type="dxa" w:w="90"/>
              <w:left w:type="dxa" w:w="120"/>
              <w:bottom w:type="dxa" w:w="90"/>
              <w:right w:type="dxa" w:w="120"/>
            </w:tcMar>
          </w:tcPr>
          <w:p>
            <w:pPr>
              <w:spacing w:after="0"/>
            </w:pPr>
            <w:r>
              <w:rPr>
                <w:sz w:val="19"/>
                <w:szCs w:val="19"/>
              </w:rPr>
              <w:t xml:space="preserve">100,000,000</w:t>
            </w:r>
          </w:p>
        </w:tc>
        <w:tc>
          <w:tcPr>
            <w:tcW w:type="dxa" w:w="2822"/>
            <w:tcBorders>
              <w:top w:val="single" w:color="DAD6E4" w:sz="4"/>
              <w:left w:val="single" w:color="DAD6E4" w:sz="4"/>
              <w:bottom w:val="single" w:color="DAD6E4" w:sz="4"/>
              <w:right w:val="single" w:color="DAD6E4" w:sz="4"/>
            </w:tcBorders>
            <w:shd w:fill="F6F4FA" w:color="auto" w:val="clear"/>
            <w:tcMar>
              <w:top w:type="dxa" w:w="90"/>
              <w:left w:type="dxa" w:w="120"/>
              <w:bottom w:type="dxa" w:w="90"/>
              <w:right w:type="dxa" w:w="120"/>
            </w:tcMar>
          </w:tcPr>
          <w:p>
            <w:pPr>
              <w:spacing w:after="0"/>
            </w:pPr>
            <w:r>
              <w:rPr>
                <w:sz w:val="19"/>
                <w:szCs w:val="19"/>
              </w:rPr>
              <w:t xml:space="preserve">12-month lock, 36-month vesting</w:t>
            </w:r>
          </w:p>
        </w:tc>
      </w:tr>
      <w:tr>
        <w:trPr>
          <w:cantSplit/>
          <w:tblHeader w:val="false"/>
        </w:trPr>
        <w:tc>
          <w:tcPr>
            <w:tcW w:type="dxa" w:w="3196"/>
            <w:tcBorders>
              <w:top w:val="single" w:color="DAD6E4" w:sz="4"/>
              <w:left w:val="single" w:color="DAD6E4" w:sz="4"/>
              <w:bottom w:val="single" w:color="DAD6E4" w:sz="4"/>
              <w:right w:val="single" w:color="DAD6E4" w:sz="4"/>
            </w:tcBorders>
            <w:tcMar>
              <w:top w:type="dxa" w:w="90"/>
              <w:left w:type="dxa" w:w="120"/>
              <w:bottom w:type="dxa" w:w="90"/>
              <w:right w:type="dxa" w:w="120"/>
            </w:tcMar>
          </w:tcPr>
          <w:p>
            <w:pPr>
              <w:spacing w:after="0"/>
            </w:pPr>
            <w:r>
              <w:rPr>
                <w:sz w:val="19"/>
                <w:szCs w:val="19"/>
              </w:rPr>
              <w:t xml:space="preserve">Environment fund</w:t>
            </w:r>
          </w:p>
        </w:tc>
        <w:tc>
          <w:tcPr>
            <w:tcW w:type="dxa" w:w="1128"/>
            <w:tcBorders>
              <w:top w:val="single" w:color="DAD6E4" w:sz="4"/>
              <w:left w:val="single" w:color="DAD6E4" w:sz="4"/>
              <w:bottom w:val="single" w:color="DAD6E4" w:sz="4"/>
              <w:right w:val="single" w:color="DAD6E4" w:sz="4"/>
            </w:tcBorders>
            <w:tcMar>
              <w:top w:type="dxa" w:w="90"/>
              <w:left w:type="dxa" w:w="120"/>
              <w:bottom w:type="dxa" w:w="90"/>
              <w:right w:type="dxa" w:w="120"/>
            </w:tcMar>
          </w:tcPr>
          <w:p>
            <w:pPr>
              <w:spacing w:after="0"/>
            </w:pPr>
            <w:r>
              <w:rPr>
                <w:sz w:val="19"/>
                <w:szCs w:val="19"/>
              </w:rPr>
              <w:t xml:space="preserve">10%</w:t>
            </w:r>
          </w:p>
        </w:tc>
        <w:tc>
          <w:tcPr>
            <w:tcW w:type="dxa" w:w="1880"/>
            <w:tcBorders>
              <w:top w:val="single" w:color="DAD6E4" w:sz="4"/>
              <w:left w:val="single" w:color="DAD6E4" w:sz="4"/>
              <w:bottom w:val="single" w:color="DAD6E4" w:sz="4"/>
              <w:right w:val="single" w:color="DAD6E4" w:sz="4"/>
            </w:tcBorders>
            <w:tcMar>
              <w:top w:type="dxa" w:w="90"/>
              <w:left w:type="dxa" w:w="120"/>
              <w:bottom w:type="dxa" w:w="90"/>
              <w:right w:type="dxa" w:w="120"/>
            </w:tcMar>
          </w:tcPr>
          <w:p>
            <w:pPr>
              <w:spacing w:after="0"/>
            </w:pPr>
            <w:r>
              <w:rPr>
                <w:sz w:val="19"/>
                <w:szCs w:val="19"/>
              </w:rPr>
              <w:t xml:space="preserve">100,000,000</w:t>
            </w:r>
          </w:p>
        </w:tc>
        <w:tc>
          <w:tcPr>
            <w:tcW w:type="dxa" w:w="2822"/>
            <w:tcBorders>
              <w:top w:val="single" w:color="DAD6E4" w:sz="4"/>
              <w:left w:val="single" w:color="DAD6E4" w:sz="4"/>
              <w:bottom w:val="single" w:color="DAD6E4" w:sz="4"/>
              <w:right w:val="single" w:color="DAD6E4" w:sz="4"/>
            </w:tcBorders>
            <w:tcMar>
              <w:top w:type="dxa" w:w="90"/>
              <w:left w:type="dxa" w:w="120"/>
              <w:bottom w:type="dxa" w:w="90"/>
              <w:right w:type="dxa" w:w="120"/>
            </w:tcMar>
          </w:tcPr>
          <w:p>
            <w:pPr>
              <w:spacing w:after="0"/>
            </w:pPr>
            <w:r>
              <w:rPr>
                <w:sz w:val="19"/>
                <w:szCs w:val="19"/>
              </w:rPr>
              <w:t xml:space="preserve">Spent by DAO vote</w:t>
            </w:r>
          </w:p>
        </w:tc>
      </w:tr>
      <w:tr>
        <w:trPr>
          <w:cantSplit/>
          <w:tblHeader w:val="false"/>
        </w:trPr>
        <w:tc>
          <w:tcPr>
            <w:tcW w:type="dxa" w:w="3196"/>
            <w:tcBorders>
              <w:top w:val="single" w:color="DAD6E4" w:sz="4"/>
              <w:left w:val="single" w:color="DAD6E4" w:sz="4"/>
              <w:bottom w:val="single" w:color="DAD6E4" w:sz="4"/>
              <w:right w:val="single" w:color="DAD6E4" w:sz="4"/>
            </w:tcBorders>
            <w:shd w:fill="F6F4FA" w:color="auto" w:val="clear"/>
            <w:tcMar>
              <w:top w:type="dxa" w:w="90"/>
              <w:left w:type="dxa" w:w="120"/>
              <w:bottom w:type="dxa" w:w="90"/>
              <w:right w:type="dxa" w:w="120"/>
            </w:tcMar>
          </w:tcPr>
          <w:p>
            <w:pPr>
              <w:spacing w:after="0"/>
            </w:pPr>
            <w:r>
              <w:rPr>
                <w:sz w:val="19"/>
                <w:szCs w:val="19"/>
              </w:rPr>
              <w:t xml:space="preserve">Partners &amp; marketing</w:t>
            </w:r>
          </w:p>
        </w:tc>
        <w:tc>
          <w:tcPr>
            <w:tcW w:type="dxa" w:w="1128"/>
            <w:tcBorders>
              <w:top w:val="single" w:color="DAD6E4" w:sz="4"/>
              <w:left w:val="single" w:color="DAD6E4" w:sz="4"/>
              <w:bottom w:val="single" w:color="DAD6E4" w:sz="4"/>
              <w:right w:val="single" w:color="DAD6E4" w:sz="4"/>
            </w:tcBorders>
            <w:shd w:fill="F6F4FA" w:color="auto" w:val="clear"/>
            <w:tcMar>
              <w:top w:type="dxa" w:w="90"/>
              <w:left w:type="dxa" w:w="120"/>
              <w:bottom w:type="dxa" w:w="90"/>
              <w:right w:type="dxa" w:w="120"/>
            </w:tcMar>
          </w:tcPr>
          <w:p>
            <w:pPr>
              <w:spacing w:after="0"/>
            </w:pPr>
            <w:r>
              <w:rPr>
                <w:sz w:val="19"/>
                <w:szCs w:val="19"/>
              </w:rPr>
              <w:t xml:space="preserve">10%</w:t>
            </w:r>
          </w:p>
        </w:tc>
        <w:tc>
          <w:tcPr>
            <w:tcW w:type="dxa" w:w="1880"/>
            <w:tcBorders>
              <w:top w:val="single" w:color="DAD6E4" w:sz="4"/>
              <w:left w:val="single" w:color="DAD6E4" w:sz="4"/>
              <w:bottom w:val="single" w:color="DAD6E4" w:sz="4"/>
              <w:right w:val="single" w:color="DAD6E4" w:sz="4"/>
            </w:tcBorders>
            <w:shd w:fill="F6F4FA" w:color="auto" w:val="clear"/>
            <w:tcMar>
              <w:top w:type="dxa" w:w="90"/>
              <w:left w:type="dxa" w:w="120"/>
              <w:bottom w:type="dxa" w:w="90"/>
              <w:right w:type="dxa" w:w="120"/>
            </w:tcMar>
          </w:tcPr>
          <w:p>
            <w:pPr>
              <w:spacing w:after="0"/>
            </w:pPr>
            <w:r>
              <w:rPr>
                <w:sz w:val="19"/>
                <w:szCs w:val="19"/>
              </w:rPr>
              <w:t xml:space="preserve">100,000,000</w:t>
            </w:r>
          </w:p>
        </w:tc>
        <w:tc>
          <w:tcPr>
            <w:tcW w:type="dxa" w:w="2822"/>
            <w:tcBorders>
              <w:top w:val="single" w:color="DAD6E4" w:sz="4"/>
              <w:left w:val="single" w:color="DAD6E4" w:sz="4"/>
              <w:bottom w:val="single" w:color="DAD6E4" w:sz="4"/>
              <w:right w:val="single" w:color="DAD6E4" w:sz="4"/>
            </w:tcBorders>
            <w:shd w:fill="F6F4FA" w:color="auto" w:val="clear"/>
            <w:tcMar>
              <w:top w:type="dxa" w:w="90"/>
              <w:left w:type="dxa" w:w="120"/>
              <w:bottom w:type="dxa" w:w="90"/>
              <w:right w:type="dxa" w:w="120"/>
            </w:tcMar>
          </w:tcPr>
          <w:p>
            <w:pPr>
              <w:spacing w:after="0"/>
            </w:pPr>
            <w:r>
              <w:rPr>
                <w:sz w:val="19"/>
                <w:szCs w:val="19"/>
              </w:rPr>
              <w:t xml:space="preserve">18-month vesting</w:t>
            </w:r>
          </w:p>
        </w:tc>
      </w:tr>
      <w:tr>
        <w:trPr>
          <w:cantSplit/>
          <w:tblHeader w:val="false"/>
        </w:trPr>
        <w:tc>
          <w:tcPr>
            <w:tcW w:type="dxa" w:w="3196"/>
            <w:tcBorders>
              <w:top w:val="single" w:color="DAD6E4" w:sz="4"/>
              <w:left w:val="single" w:color="DAD6E4" w:sz="4"/>
              <w:bottom w:val="single" w:color="DAD6E4" w:sz="4"/>
              <w:right w:val="single" w:color="DAD6E4" w:sz="4"/>
            </w:tcBorders>
            <w:tcMar>
              <w:top w:type="dxa" w:w="90"/>
              <w:left w:type="dxa" w:w="120"/>
              <w:bottom w:type="dxa" w:w="90"/>
              <w:right w:type="dxa" w:w="120"/>
            </w:tcMar>
          </w:tcPr>
          <w:p>
            <w:pPr>
              <w:spacing w:after="0"/>
            </w:pPr>
            <w:r>
              <w:rPr>
                <w:b/>
                <w:bCs/>
                <w:sz w:val="19"/>
                <w:szCs w:val="19"/>
              </w:rPr>
              <w:t xml:space="preserve">Total</w:t>
            </w:r>
          </w:p>
        </w:tc>
        <w:tc>
          <w:tcPr>
            <w:tcW w:type="dxa" w:w="1128"/>
            <w:tcBorders>
              <w:top w:val="single" w:color="DAD6E4" w:sz="4"/>
              <w:left w:val="single" w:color="DAD6E4" w:sz="4"/>
              <w:bottom w:val="single" w:color="DAD6E4" w:sz="4"/>
              <w:right w:val="single" w:color="DAD6E4" w:sz="4"/>
            </w:tcBorders>
            <w:tcMar>
              <w:top w:type="dxa" w:w="90"/>
              <w:left w:type="dxa" w:w="120"/>
              <w:bottom w:type="dxa" w:w="90"/>
              <w:right w:type="dxa" w:w="120"/>
            </w:tcMar>
          </w:tcPr>
          <w:p>
            <w:pPr>
              <w:spacing w:after="0"/>
            </w:pPr>
            <w:r>
              <w:rPr>
                <w:b/>
                <w:bCs/>
                <w:sz w:val="19"/>
                <w:szCs w:val="19"/>
              </w:rPr>
              <w:t xml:space="preserve">100%</w:t>
            </w:r>
          </w:p>
        </w:tc>
        <w:tc>
          <w:tcPr>
            <w:tcW w:type="dxa" w:w="1880"/>
            <w:tcBorders>
              <w:top w:val="single" w:color="DAD6E4" w:sz="4"/>
              <w:left w:val="single" w:color="DAD6E4" w:sz="4"/>
              <w:bottom w:val="single" w:color="DAD6E4" w:sz="4"/>
              <w:right w:val="single" w:color="DAD6E4" w:sz="4"/>
            </w:tcBorders>
            <w:tcMar>
              <w:top w:type="dxa" w:w="90"/>
              <w:left w:type="dxa" w:w="120"/>
              <w:bottom w:type="dxa" w:w="90"/>
              <w:right w:type="dxa" w:w="120"/>
            </w:tcMar>
          </w:tcPr>
          <w:p>
            <w:pPr>
              <w:spacing w:after="0"/>
            </w:pPr>
            <w:r>
              <w:rPr>
                <w:b/>
                <w:bCs/>
                <w:sz w:val="19"/>
                <w:szCs w:val="19"/>
              </w:rPr>
              <w:t xml:space="preserve">1,000,000,000</w:t>
            </w:r>
          </w:p>
        </w:tc>
        <w:tc>
          <w:tcPr>
            <w:tcW w:type="dxa" w:w="2822"/>
            <w:tcBorders>
              <w:top w:val="single" w:color="DAD6E4" w:sz="4"/>
              <w:left w:val="single" w:color="DAD6E4" w:sz="4"/>
              <w:bottom w:val="single" w:color="DAD6E4" w:sz="4"/>
              <w:right w:val="single" w:color="DAD6E4" w:sz="4"/>
            </w:tcBorders>
            <w:tcMar>
              <w:top w:type="dxa" w:w="90"/>
              <w:left w:type="dxa" w:w="120"/>
              <w:bottom w:type="dxa" w:w="90"/>
              <w:right w:type="dxa" w:w="120"/>
            </w:tcMar>
          </w:tcPr>
          <w:p>
            <w:pPr>
              <w:spacing w:after="0"/>
            </w:pPr>
          </w:p>
        </w:tc>
      </w:tr>
    </w:tbl>
    <w:p>
      <w:pPr>
        <w:spacing w:after="120"/>
      </w:pPr>
    </w:p>
    <w:p>
      <w:pPr>
        <w:spacing w:after="160"/>
      </w:pPr>
      <w:r>
        <w:rPr>
          <w:b/>
          <w:bCs/>
        </w:rPr>
        <w:t xml:space="preserve">Trading tax:</w:t>
      </w:r>
      <w:r>
        <w:t xml:space="preserve"> 2% per trade: 1% is burned and 1% goes to the environment fund.</w:t>
      </w:r>
    </w:p>
    <w:p>
      <w:pPr>
        <w:pStyle w:val="Heading1"/>
      </w:pPr>
      <w:r>
        <w:t xml:space="preserve">6. Ecosystem and participants</w:t>
      </w:r>
    </w:p>
    <w:p>
      <w:pPr>
        <w:spacing w:after="160"/>
      </w:pPr>
      <w:r>
        <w:t xml:space="preserve">Every group in the chain has a clear role and is paid for real work:</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112"/>
        <w:gridCol w:w="3456"/>
        <w:gridCol w:w="3458"/>
      </w:tblGrid>
      <w:tr>
        <w:trPr>
          <w:cantSplit/>
          <w:tblHeader/>
        </w:trPr>
        <w:tc>
          <w:tcPr>
            <w:tcW w:type="dxa" w:w="2112"/>
            <w:tcBorders>
              <w:top w:val="single" w:color="DAD6E4" w:sz="4"/>
              <w:left w:val="single" w:color="DAD6E4" w:sz="4"/>
              <w:bottom w:val="single" w:color="DAD6E4" w:sz="4"/>
              <w:right w:val="single" w:color="DAD6E4" w:sz="4"/>
            </w:tcBorders>
            <w:shd w:fill="1E1A2B" w:color="auto" w:val="clear"/>
            <w:tcMar>
              <w:top w:type="dxa" w:w="90"/>
              <w:left w:type="dxa" w:w="120"/>
              <w:bottom w:type="dxa" w:w="90"/>
              <w:right w:type="dxa" w:w="120"/>
            </w:tcMar>
          </w:tcPr>
          <w:p>
            <w:pPr>
              <w:spacing w:after="0"/>
            </w:pPr>
            <w:r>
              <w:rPr>
                <w:b/>
                <w:bCs/>
                <w:color w:val="FFFFFF"/>
                <w:sz w:val="19"/>
                <w:szCs w:val="19"/>
              </w:rPr>
              <w:t xml:space="preserve">Group</w:t>
            </w:r>
          </w:p>
        </w:tc>
        <w:tc>
          <w:tcPr>
            <w:tcW w:type="dxa" w:w="3456"/>
            <w:tcBorders>
              <w:top w:val="single" w:color="DAD6E4" w:sz="4"/>
              <w:left w:val="single" w:color="DAD6E4" w:sz="4"/>
              <w:bottom w:val="single" w:color="DAD6E4" w:sz="4"/>
              <w:right w:val="single" w:color="DAD6E4" w:sz="4"/>
            </w:tcBorders>
            <w:shd w:fill="1E1A2B" w:color="auto" w:val="clear"/>
            <w:tcMar>
              <w:top w:type="dxa" w:w="90"/>
              <w:left w:type="dxa" w:w="120"/>
              <w:bottom w:type="dxa" w:w="90"/>
              <w:right w:type="dxa" w:w="120"/>
            </w:tcMar>
          </w:tcPr>
          <w:p>
            <w:pPr>
              <w:spacing w:after="0"/>
            </w:pPr>
            <w:r>
              <w:rPr>
                <w:b/>
                <w:bCs/>
                <w:color w:val="FFFFFF"/>
                <w:sz w:val="19"/>
                <w:szCs w:val="19"/>
              </w:rPr>
              <w:t xml:space="preserve">What they do</w:t>
            </w:r>
          </w:p>
        </w:tc>
        <w:tc>
          <w:tcPr>
            <w:tcW w:type="dxa" w:w="3458"/>
            <w:tcBorders>
              <w:top w:val="single" w:color="DAD6E4" w:sz="4"/>
              <w:left w:val="single" w:color="DAD6E4" w:sz="4"/>
              <w:bottom w:val="single" w:color="DAD6E4" w:sz="4"/>
              <w:right w:val="single" w:color="DAD6E4" w:sz="4"/>
            </w:tcBorders>
            <w:shd w:fill="1E1A2B" w:color="auto" w:val="clear"/>
            <w:tcMar>
              <w:top w:type="dxa" w:w="90"/>
              <w:left w:type="dxa" w:w="120"/>
              <w:bottom w:type="dxa" w:w="90"/>
              <w:right w:type="dxa" w:w="120"/>
            </w:tcMar>
          </w:tcPr>
          <w:p>
            <w:pPr>
              <w:spacing w:after="0"/>
            </w:pPr>
            <w:r>
              <w:rPr>
                <w:b/>
                <w:bCs/>
                <w:color w:val="FFFFFF"/>
                <w:sz w:val="19"/>
                <w:szCs w:val="19"/>
              </w:rPr>
              <w:t xml:space="preserve">What they get</w:t>
            </w:r>
          </w:p>
        </w:tc>
      </w:tr>
      <w:tr>
        <w:trPr>
          <w:cantSplit/>
          <w:tblHeader w:val="false"/>
        </w:trPr>
        <w:tc>
          <w:tcPr>
            <w:tcW w:type="dxa" w:w="2112"/>
            <w:tcBorders>
              <w:top w:val="single" w:color="DAD6E4" w:sz="4"/>
              <w:left w:val="single" w:color="DAD6E4" w:sz="4"/>
              <w:bottom w:val="single" w:color="DAD6E4" w:sz="4"/>
              <w:right w:val="single" w:color="DAD6E4" w:sz="4"/>
            </w:tcBorders>
            <w:tcMar>
              <w:top w:type="dxa" w:w="90"/>
              <w:left w:type="dxa" w:w="120"/>
              <w:bottom w:type="dxa" w:w="90"/>
              <w:right w:type="dxa" w:w="120"/>
            </w:tcMar>
          </w:tcPr>
          <w:p>
            <w:pPr>
              <w:spacing w:after="0"/>
            </w:pPr>
            <w:r>
              <w:rPr>
                <w:sz w:val="19"/>
                <w:szCs w:val="19"/>
              </w:rPr>
              <w:t xml:space="preserve">Residents</w:t>
            </w:r>
          </w:p>
        </w:tc>
        <w:tc>
          <w:tcPr>
            <w:tcW w:type="dxa" w:w="3456"/>
            <w:tcBorders>
              <w:top w:val="single" w:color="DAD6E4" w:sz="4"/>
              <w:left w:val="single" w:color="DAD6E4" w:sz="4"/>
              <w:bottom w:val="single" w:color="DAD6E4" w:sz="4"/>
              <w:right w:val="single" w:color="DAD6E4" w:sz="4"/>
            </w:tcBorders>
            <w:tcMar>
              <w:top w:type="dxa" w:w="90"/>
              <w:left w:type="dxa" w:w="120"/>
              <w:bottom w:type="dxa" w:w="90"/>
              <w:right w:type="dxa" w:w="120"/>
            </w:tcMar>
          </w:tcPr>
          <w:p>
            <w:pPr>
              <w:spacing w:after="0"/>
            </w:pPr>
            <w:r>
              <w:rPr>
                <w:sz w:val="19"/>
                <w:szCs w:val="19"/>
              </w:rPr>
              <w:t xml:space="preserve">Sort at home and drop off at an ATOMYX Point</w:t>
            </w:r>
          </w:p>
        </w:tc>
        <w:tc>
          <w:tcPr>
            <w:tcW w:type="dxa" w:w="3458"/>
            <w:tcBorders>
              <w:top w:val="single" w:color="DAD6E4" w:sz="4"/>
              <w:left w:val="single" w:color="DAD6E4" w:sz="4"/>
              <w:bottom w:val="single" w:color="DAD6E4" w:sz="4"/>
              <w:right w:val="single" w:color="DAD6E4" w:sz="4"/>
            </w:tcBorders>
            <w:tcMar>
              <w:top w:type="dxa" w:w="90"/>
              <w:left w:type="dxa" w:w="120"/>
              <w:bottom w:type="dxa" w:w="90"/>
              <w:right w:type="dxa" w:w="120"/>
            </w:tcMar>
          </w:tcPr>
          <w:p>
            <w:pPr>
              <w:spacing w:after="0"/>
            </w:pPr>
            <w:r>
              <w:rPr>
                <w:sz w:val="19"/>
                <w:szCs w:val="19"/>
              </w:rPr>
              <w:t xml:space="preserve">$ATMX by weight, with history in the app</w:t>
            </w:r>
          </w:p>
        </w:tc>
      </w:tr>
      <w:tr>
        <w:trPr>
          <w:cantSplit/>
          <w:tblHeader w:val="false"/>
        </w:trPr>
        <w:tc>
          <w:tcPr>
            <w:tcW w:type="dxa" w:w="2112"/>
            <w:tcBorders>
              <w:top w:val="single" w:color="DAD6E4" w:sz="4"/>
              <w:left w:val="single" w:color="DAD6E4" w:sz="4"/>
              <w:bottom w:val="single" w:color="DAD6E4" w:sz="4"/>
              <w:right w:val="single" w:color="DAD6E4" w:sz="4"/>
            </w:tcBorders>
            <w:shd w:fill="F6F4FA" w:color="auto" w:val="clear"/>
            <w:tcMar>
              <w:top w:type="dxa" w:w="90"/>
              <w:left w:type="dxa" w:w="120"/>
              <w:bottom w:type="dxa" w:w="90"/>
              <w:right w:type="dxa" w:w="120"/>
            </w:tcMar>
          </w:tcPr>
          <w:p>
            <w:pPr>
              <w:spacing w:after="0"/>
            </w:pPr>
            <w:r>
              <w:rPr>
                <w:sz w:val="19"/>
                <w:szCs w:val="19"/>
              </w:rPr>
              <w:t xml:space="preserve">Independent collectors &amp; scrap yards</w:t>
            </w:r>
          </w:p>
        </w:tc>
        <w:tc>
          <w:tcPr>
            <w:tcW w:type="dxa" w:w="3456"/>
            <w:tcBorders>
              <w:top w:val="single" w:color="DAD6E4" w:sz="4"/>
              <w:left w:val="single" w:color="DAD6E4" w:sz="4"/>
              <w:bottom w:val="single" w:color="DAD6E4" w:sz="4"/>
              <w:right w:val="single" w:color="DAD6E4" w:sz="4"/>
            </w:tcBorders>
            <w:shd w:fill="F6F4FA" w:color="auto" w:val="clear"/>
            <w:tcMar>
              <w:top w:type="dxa" w:w="90"/>
              <w:left w:type="dxa" w:w="120"/>
              <w:bottom w:type="dxa" w:w="90"/>
              <w:right w:type="dxa" w:w="120"/>
            </w:tcMar>
          </w:tcPr>
          <w:p>
            <w:pPr>
              <w:spacing w:after="0"/>
            </w:pPr>
            <w:r>
              <w:rPr>
                <w:sz w:val="19"/>
                <w:szCs w:val="19"/>
              </w:rPr>
              <w:t xml:space="preserve">Register in ATOMYX Collect and deliver to sorting stations</w:t>
            </w:r>
          </w:p>
        </w:tc>
        <w:tc>
          <w:tcPr>
            <w:tcW w:type="dxa" w:w="3458"/>
            <w:tcBorders>
              <w:top w:val="single" w:color="DAD6E4" w:sz="4"/>
              <w:left w:val="single" w:color="DAD6E4" w:sz="4"/>
              <w:bottom w:val="single" w:color="DAD6E4" w:sz="4"/>
              <w:right w:val="single" w:color="DAD6E4" w:sz="4"/>
            </w:tcBorders>
            <w:shd w:fill="F6F4FA" w:color="auto" w:val="clear"/>
            <w:tcMar>
              <w:top w:type="dxa" w:w="90"/>
              <w:left w:type="dxa" w:w="120"/>
              <w:bottom w:type="dxa" w:w="90"/>
              <w:right w:type="dxa" w:w="120"/>
            </w:tcMar>
          </w:tcPr>
          <w:p>
            <w:pPr>
              <w:spacing w:after="0"/>
            </w:pPr>
            <w:r>
              <w:rPr>
                <w:sz w:val="19"/>
                <w:szCs w:val="19"/>
              </w:rPr>
              <w:t xml:space="preserve">Material price plus an $ATMX bonus, with income on record</w:t>
            </w:r>
          </w:p>
        </w:tc>
      </w:tr>
      <w:tr>
        <w:trPr>
          <w:cantSplit/>
          <w:tblHeader w:val="false"/>
        </w:trPr>
        <w:tc>
          <w:tcPr>
            <w:tcW w:type="dxa" w:w="2112"/>
            <w:tcBorders>
              <w:top w:val="single" w:color="DAD6E4" w:sz="4"/>
              <w:left w:val="single" w:color="DAD6E4" w:sz="4"/>
              <w:bottom w:val="single" w:color="DAD6E4" w:sz="4"/>
              <w:right w:val="single" w:color="DAD6E4" w:sz="4"/>
            </w:tcBorders>
            <w:tcMar>
              <w:top w:type="dxa" w:w="90"/>
              <w:left w:type="dxa" w:w="120"/>
              <w:bottom w:type="dxa" w:w="90"/>
              <w:right w:type="dxa" w:w="120"/>
            </w:tcMar>
          </w:tcPr>
          <w:p>
            <w:pPr>
              <w:spacing w:after="0"/>
            </w:pPr>
            <w:r>
              <w:rPr>
                <w:sz w:val="19"/>
                <w:szCs w:val="19"/>
              </w:rPr>
              <w:t xml:space="preserve">Businesses &amp; brands</w:t>
            </w:r>
          </w:p>
        </w:tc>
        <w:tc>
          <w:tcPr>
            <w:tcW w:type="dxa" w:w="3456"/>
            <w:tcBorders>
              <w:top w:val="single" w:color="DAD6E4" w:sz="4"/>
              <w:left w:val="single" w:color="DAD6E4" w:sz="4"/>
              <w:bottom w:val="single" w:color="DAD6E4" w:sz="4"/>
              <w:right w:val="single" w:color="DAD6E4" w:sz="4"/>
            </w:tcBorders>
            <w:tcMar>
              <w:top w:type="dxa" w:w="90"/>
              <w:left w:type="dxa" w:w="120"/>
              <w:bottom w:type="dxa" w:w="90"/>
              <w:right w:type="dxa" w:w="120"/>
            </w:tcMar>
          </w:tcPr>
          <w:p>
            <w:pPr>
              <w:spacing w:after="0"/>
            </w:pPr>
            <w:r>
              <w:rPr>
                <w:sz w:val="19"/>
                <w:szCs w:val="19"/>
              </w:rPr>
              <w:t xml:space="preserve">Buy collection services, plastic credits and weight reports</w:t>
            </w:r>
          </w:p>
        </w:tc>
        <w:tc>
          <w:tcPr>
            <w:tcW w:type="dxa" w:w="3458"/>
            <w:tcBorders>
              <w:top w:val="single" w:color="DAD6E4" w:sz="4"/>
              <w:left w:val="single" w:color="DAD6E4" w:sz="4"/>
              <w:bottom w:val="single" w:color="DAD6E4" w:sz="4"/>
              <w:right w:val="single" w:color="DAD6E4" w:sz="4"/>
            </w:tcBorders>
            <w:tcMar>
              <w:top w:type="dxa" w:w="90"/>
              <w:left w:type="dxa" w:w="120"/>
              <w:bottom w:type="dxa" w:w="90"/>
              <w:right w:type="dxa" w:w="120"/>
            </w:tcMar>
          </w:tcPr>
          <w:p>
            <w:pPr>
              <w:spacing w:after="0"/>
            </w:pPr>
            <w:r>
              <w:rPr>
                <w:sz w:val="19"/>
                <w:szCs w:val="19"/>
              </w:rPr>
              <w:t xml:space="preserve">Verifiable data for ESG/CSRD reports and packaging EPR obligations in the EU and US states</w:t>
            </w:r>
          </w:p>
        </w:tc>
      </w:tr>
      <w:tr>
        <w:trPr>
          <w:cantSplit/>
          <w:tblHeader w:val="false"/>
        </w:trPr>
        <w:tc>
          <w:tcPr>
            <w:tcW w:type="dxa" w:w="2112"/>
            <w:tcBorders>
              <w:top w:val="single" w:color="DAD6E4" w:sz="4"/>
              <w:left w:val="single" w:color="DAD6E4" w:sz="4"/>
              <w:bottom w:val="single" w:color="DAD6E4" w:sz="4"/>
              <w:right w:val="single" w:color="DAD6E4" w:sz="4"/>
            </w:tcBorders>
            <w:shd w:fill="F6F4FA" w:color="auto" w:val="clear"/>
            <w:tcMar>
              <w:top w:type="dxa" w:w="90"/>
              <w:left w:type="dxa" w:w="120"/>
              <w:bottom w:type="dxa" w:w="90"/>
              <w:right w:type="dxa" w:w="120"/>
            </w:tcMar>
          </w:tcPr>
          <w:p>
            <w:pPr>
              <w:spacing w:after="0"/>
            </w:pPr>
            <w:r>
              <w:rPr>
                <w:sz w:val="19"/>
                <w:szCs w:val="19"/>
              </w:rPr>
              <w:t xml:space="preserve">Operating partners</w:t>
            </w:r>
          </w:p>
        </w:tc>
        <w:tc>
          <w:tcPr>
            <w:tcW w:type="dxa" w:w="3456"/>
            <w:tcBorders>
              <w:top w:val="single" w:color="DAD6E4" w:sz="4"/>
              <w:left w:val="single" w:color="DAD6E4" w:sz="4"/>
              <w:bottom w:val="single" w:color="DAD6E4" w:sz="4"/>
              <w:right w:val="single" w:color="DAD6E4" w:sz="4"/>
            </w:tcBorders>
            <w:shd w:fill="F6F4FA" w:color="auto" w:val="clear"/>
            <w:tcMar>
              <w:top w:type="dxa" w:w="90"/>
              <w:left w:type="dxa" w:w="120"/>
              <w:bottom w:type="dxa" w:w="90"/>
              <w:right w:type="dxa" w:w="120"/>
            </w:tcMar>
          </w:tcPr>
          <w:p>
            <w:pPr>
              <w:spacing w:after="0"/>
            </w:pPr>
            <w:r>
              <w:rPr>
                <w:sz w:val="19"/>
                <w:szCs w:val="19"/>
              </w:rPr>
              <w:t xml:space="preserve">Open a franchise Point and stake $ATMX as a bond</w:t>
            </w:r>
          </w:p>
        </w:tc>
        <w:tc>
          <w:tcPr>
            <w:tcW w:type="dxa" w:w="3458"/>
            <w:tcBorders>
              <w:top w:val="single" w:color="DAD6E4" w:sz="4"/>
              <w:left w:val="single" w:color="DAD6E4" w:sz="4"/>
              <w:bottom w:val="single" w:color="DAD6E4" w:sz="4"/>
              <w:right w:val="single" w:color="DAD6E4" w:sz="4"/>
            </w:tcBorders>
            <w:shd w:fill="F6F4FA" w:color="auto" w:val="clear"/>
            <w:tcMar>
              <w:top w:type="dxa" w:w="90"/>
              <w:left w:type="dxa" w:w="120"/>
              <w:bottom w:type="dxa" w:w="90"/>
              <w:right w:type="dxa" w:w="120"/>
            </w:tcMar>
          </w:tcPr>
          <w:p>
            <w:pPr>
              <w:spacing w:after="0"/>
            </w:pPr>
            <w:r>
              <w:rPr>
                <w:sz w:val="19"/>
                <w:szCs w:val="19"/>
              </w:rPr>
              <w:t xml:space="preserve">Operating fees and a share of material revenue</w:t>
            </w:r>
          </w:p>
        </w:tc>
      </w:tr>
      <w:tr>
        <w:trPr>
          <w:cantSplit/>
          <w:tblHeader w:val="false"/>
        </w:trPr>
        <w:tc>
          <w:tcPr>
            <w:tcW w:type="dxa" w:w="2112"/>
            <w:tcBorders>
              <w:top w:val="single" w:color="DAD6E4" w:sz="4"/>
              <w:left w:val="single" w:color="DAD6E4" w:sz="4"/>
              <w:bottom w:val="single" w:color="DAD6E4" w:sz="4"/>
              <w:right w:val="single" w:color="DAD6E4" w:sz="4"/>
            </w:tcBorders>
            <w:tcMar>
              <w:top w:type="dxa" w:w="90"/>
              <w:left w:type="dxa" w:w="120"/>
              <w:bottom w:type="dxa" w:w="90"/>
              <w:right w:type="dxa" w:w="120"/>
            </w:tcMar>
          </w:tcPr>
          <w:p>
            <w:pPr>
              <w:spacing w:after="0"/>
            </w:pPr>
            <w:r>
              <w:rPr>
                <w:sz w:val="19"/>
                <w:szCs w:val="19"/>
              </w:rPr>
              <w:t xml:space="preserve">Token holders</w:t>
            </w:r>
          </w:p>
        </w:tc>
        <w:tc>
          <w:tcPr>
            <w:tcW w:type="dxa" w:w="3456"/>
            <w:tcBorders>
              <w:top w:val="single" w:color="DAD6E4" w:sz="4"/>
              <w:left w:val="single" w:color="DAD6E4" w:sz="4"/>
              <w:bottom w:val="single" w:color="DAD6E4" w:sz="4"/>
              <w:right w:val="single" w:color="DAD6E4" w:sz="4"/>
            </w:tcBorders>
            <w:tcMar>
              <w:top w:type="dxa" w:w="90"/>
              <w:left w:type="dxa" w:w="120"/>
              <w:bottom w:type="dxa" w:w="90"/>
              <w:right w:type="dxa" w:w="120"/>
            </w:tcMar>
          </w:tcPr>
          <w:p>
            <w:pPr>
              <w:spacing w:after="0"/>
            </w:pPr>
            <w:r>
              <w:rPr>
                <w:sz w:val="19"/>
                <w:szCs w:val="19"/>
              </w:rPr>
              <w:t xml:space="preserve">Vote in the DAO</w:t>
            </w:r>
          </w:p>
        </w:tc>
        <w:tc>
          <w:tcPr>
            <w:tcW w:type="dxa" w:w="3458"/>
            <w:tcBorders>
              <w:top w:val="single" w:color="DAD6E4" w:sz="4"/>
              <w:left w:val="single" w:color="DAD6E4" w:sz="4"/>
              <w:bottom w:val="single" w:color="DAD6E4" w:sz="4"/>
              <w:right w:val="single" w:color="DAD6E4" w:sz="4"/>
            </w:tcBorders>
            <w:tcMar>
              <w:top w:type="dxa" w:w="90"/>
              <w:left w:type="dxa" w:w="120"/>
              <w:bottom w:type="dxa" w:w="90"/>
              <w:right w:type="dxa" w:w="120"/>
            </w:tcMar>
          </w:tcPr>
          <w:p>
            <w:pPr>
              <w:spacing w:after="0"/>
            </w:pPr>
            <w:r>
              <w:rPr>
                <w:sz w:val="19"/>
                <w:szCs w:val="19"/>
              </w:rPr>
              <w:t xml:space="preserve">Decide reward rates, new cities and the environment fund</w:t>
            </w:r>
          </w:p>
        </w:tc>
      </w:tr>
    </w:tbl>
    <w:p>
      <w:pPr>
        <w:spacing w:after="120"/>
      </w:pPr>
    </w:p>
    <w:p>
      <w:pPr>
        <w:spacing w:after="160"/>
      </w:pPr>
      <w:r>
        <w:rPr>
          <w:b/>
          <w:bCs/>
        </w:rPr>
        <w:t xml:space="preserve">Public data dashboard:</w:t>
      </w:r>
      <w:r>
        <w:t xml:space="preserve"> anyone can see the total weight collected by city and material, the $ATMX paid out as rewards, and the amount burned.</w:t>
      </w:r>
    </w:p>
    <w:p>
      <w:pPr>
        <w:pStyle w:val="Heading1"/>
      </w:pPr>
      <w:r>
        <w:t xml:space="preserve">7. Roadmap: from a US pilot to the US and Europe</w:t>
      </w:r>
    </w:p>
    <w:p>
      <w:pPr>
        <w:spacing w:after="160"/>
      </w:pPr>
      <w:r>
        <w:t xml:space="preserve">The roadmap starts small with a pilot in one US city, then expands to cities in the US and the European Union. Timelines are targets and depend on funding, permits and partners.</w:t>
      </w:r>
    </w:p>
    <w:p>
      <w:pPr>
        <w:pStyle w:val="ListParagraph"/>
        <w:numPr>
          <w:ilvl w:val="0"/>
          <w:numId w:val="4"/>
        </w:numPr>
        <w:spacing w:after="80"/>
      </w:pPr>
      <w:r>
        <w:rPr>
          <w:b/>
          <w:bCs/>
        </w:rPr>
        <w:t xml:space="preserve">Phase 1 – Foundation (months 0–6):</w:t>
      </w:r>
      <w:r>
        <w:t xml:space="preserve"> legal setup in the US and EU and choice of blockchain; ATOMYX Collect v1; agreements with 1–2 US recycling partners; 3–5 pilot Points in one US city</w:t>
      </w:r>
    </w:p>
    <w:p>
      <w:pPr>
        <w:pStyle w:val="ListParagraph"/>
        <w:numPr>
          <w:ilvl w:val="0"/>
          <w:numId w:val="4"/>
        </w:numPr>
        <w:spacing w:after="80"/>
      </w:pPr>
      <w:r>
        <w:rPr>
          <w:b/>
          <w:bCs/>
        </w:rPr>
        <w:t xml:space="preserve">Phase 2 – Pilot (months 6–12):</w:t>
      </w:r>
      <w:r>
        <w:t xml:space="preserve"> first sorting station with AI cameras, 5–10 tonnes/day; first independent data audit; $ATMX launch and recycling rewards where legally permitted</w:t>
      </w:r>
    </w:p>
    <w:p>
      <w:pPr>
        <w:pStyle w:val="ListParagraph"/>
        <w:numPr>
          <w:ilvl w:val="0"/>
          <w:numId w:val="4"/>
        </w:numPr>
        <w:spacing w:after="80"/>
      </w:pPr>
      <w:r>
        <w:rPr>
          <w:b/>
          <w:bCs/>
        </w:rPr>
        <w:t xml:space="preserve">Phase 3 – Scale (months 12–24):</w:t>
      </w:r>
      <w:r>
        <w:t xml:space="preserve"> 50+ Points across 2–3 cities in the US and the EU; Verra Plastic Program filing; reporting service for EPR and CSRD</w:t>
      </w:r>
    </w:p>
    <w:p>
      <w:pPr>
        <w:pStyle w:val="ListParagraph"/>
        <w:numPr>
          <w:ilvl w:val="0"/>
          <w:numId w:val="4"/>
        </w:numPr>
        <w:spacing w:after="80"/>
      </w:pPr>
      <w:r>
        <w:rPr>
          <w:b/>
          <w:bCs/>
        </w:rPr>
        <w:t xml:space="preserve">Phase 4 – Expansion (month 24+):</w:t>
      </w:r>
      <w:r>
        <w:t xml:space="preserve"> franchised Points across the US and Europe; DAO-run rewards and funds; e-waste recovery under EU WEEE rules and US state programs</w:t>
      </w:r>
    </w:p>
    <w:p>
      <w:pPr>
        <w:spacing w:after="160"/>
      </w:pPr>
      <w:r>
        <w:rPr>
          <w:b/>
          <w:bCs/>
        </w:rPr>
        <w:t xml:space="preserve">To be announced before the token launch:</w:t>
      </w:r>
      <w:r>
        <w:t xml:space="preserve"> the pilot city, the names of recycling partners, team information and the legal entities.</w:t>
      </w:r>
    </w:p>
    <w:p>
      <w:pPr>
        <w:pStyle w:val="Heading1"/>
      </w:pPr>
      <w:r>
        <w:t xml:space="preserve">8. Brand identity and community</w:t>
      </w:r>
    </w:p>
    <w:p>
      <w:pPr>
        <w:pStyle w:val="ListParagraph"/>
        <w:numPr>
          <w:ilvl w:val="0"/>
          <w:numId w:val="2"/>
        </w:numPr>
        <w:spacing w:after="80"/>
      </w:pPr>
      <w:r>
        <w:rPr>
          <w:b/>
          <w:bCs/>
        </w:rPr>
        <w:t xml:space="preserve">Logo:</w:t>
      </w:r>
      <w:r>
        <w:t xml:space="preserve"> an atom, its nucleus a small cube of waste breaking up into glowing particles</w:t>
      </w:r>
    </w:p>
    <w:p>
      <w:pPr>
        <w:pStyle w:val="ListParagraph"/>
        <w:numPr>
          <w:ilvl w:val="0"/>
          <w:numId w:val="2"/>
        </w:numPr>
        <w:spacing w:after="80"/>
      </w:pPr>
      <w:r>
        <w:rPr>
          <w:b/>
          <w:bCs/>
        </w:rPr>
        <w:t xml:space="preserve">Main colors:</w:t>
      </w:r>
      <w:r>
        <w:t xml:space="preserve"> charcoal, electric violet and neon green on a dark background</w:t>
      </w:r>
    </w:p>
    <w:p>
      <w:pPr>
        <w:pStyle w:val="ListParagraph"/>
        <w:numPr>
          <w:ilvl w:val="0"/>
          <w:numId w:val="2"/>
        </w:numPr>
        <w:spacing w:after="80"/>
      </w:pPr>
      <w:r>
        <w:rPr>
          <w:b/>
          <w:bCs/>
        </w:rPr>
        <w:t xml:space="preserve">Mascot:</w:t>
      </w:r>
      <w:r>
        <w:t xml:space="preserve"> "Atom", a small sorting robot, the face of the ATOMYX Sort stations</w:t>
      </w:r>
    </w:p>
    <w:p>
      <w:pPr>
        <w:pStyle w:val="ListParagraph"/>
        <w:numPr>
          <w:ilvl w:val="0"/>
          <w:numId w:val="2"/>
        </w:numPr>
        <w:spacing w:after="80"/>
      </w:pPr>
      <w:r>
        <w:rPr>
          <w:b/>
          <w:bCs/>
        </w:rPr>
        <w:t xml:space="preserve">Community name:</w:t>
      </w:r>
      <w:r>
        <w:t xml:space="preserve"> The Reclaimers, the people taking the planet back</w:t>
      </w:r>
    </w:p>
    <w:p>
      <w:pPr>
        <w:pStyle w:val="ListParagraph"/>
        <w:numPr>
          <w:ilvl w:val="0"/>
          <w:numId w:val="2"/>
        </w:numPr>
        <w:spacing w:after="80"/>
      </w:pPr>
      <w:r>
        <w:rPr>
          <w:b/>
          <w:bCs/>
        </w:rPr>
        <w:t xml:space="preserve">Hashtag:</w:t>
      </w:r>
      <w:r>
        <w:t xml:space="preserve"> #AtomizeTheWaste</w:t>
      </w:r>
    </w:p>
    <w:p>
      <w:pPr>
        <w:spacing w:after="160"/>
      </w:pPr>
      <w:r>
        <w:rPr>
          <w:b/>
          <w:bCs/>
        </w:rPr>
        <w:t xml:space="preserve">Community activities:</w:t>
      </w:r>
      <w:r>
        <w:t xml:space="preserve"> monthly clean-up challenges (before-and-after photos earn rewards), meme contests featuring Atom, and an airdrop event every time 1,000 tonnes of waste are processed.</w:t>
      </w:r>
    </w:p>
    <w:p>
      <w:pPr>
        <w:pStyle w:val="Heading1"/>
      </w:pPr>
      <w:r>
        <w:t xml:space="preserve">9. Risks and legal notice</w:t>
      </w:r>
    </w:p>
    <w:p>
      <w:pPr>
        <w:spacing w:after="160"/>
      </w:pPr>
      <w:r>
        <w:t xml:space="preserve">This document describes the planned direction of ATOMYX. It is not an offer of securities, an offer to sell, or investment advice. Figures on capacity, collection points and timelines are targets, not results already achieved.</w:t>
      </w:r>
    </w:p>
    <w:p>
      <w:pPr>
        <w:pStyle w:val="ListParagraph"/>
        <w:numPr>
          <w:ilvl w:val="0"/>
          <w:numId w:val="2"/>
        </w:numPr>
        <w:spacing w:after="80"/>
      </w:pPr>
      <w:r>
        <w:rPr>
          <w:b/>
          <w:bCs/>
        </w:rPr>
        <w:t xml:space="preserve">Legal:</w:t>
      </w:r>
      <w:r>
        <w:t xml:space="preserve"> token rules differ in the US and in each EU member state. Before launch, ATOMYX will obtain legal advice on US federal and state rules and on the EU Markets in Crypto-Assets Regulation (MiCA), and may restrict access in some jurisdictions.</w:t>
      </w:r>
    </w:p>
    <w:p>
      <w:pPr>
        <w:pStyle w:val="ListParagraph"/>
        <w:numPr>
          <w:ilvl w:val="0"/>
          <w:numId w:val="2"/>
        </w:numPr>
        <w:spacing w:after="80"/>
      </w:pPr>
      <w:r>
        <w:rPr>
          <w:b/>
          <w:bCs/>
        </w:rPr>
        <w:t xml:space="preserve">Operations:</w:t>
      </w:r>
      <w:r>
        <w:t xml:space="preserve"> the project depends on recycling partners, permits and recycled material prices, which change with the market.</w:t>
      </w:r>
    </w:p>
    <w:p>
      <w:pPr>
        <w:pStyle w:val="ListParagraph"/>
        <w:numPr>
          <w:ilvl w:val="0"/>
          <w:numId w:val="2"/>
        </w:numPr>
        <w:spacing w:after="80"/>
      </w:pPr>
      <w:r>
        <w:rPr>
          <w:b/>
          <w:bCs/>
        </w:rPr>
        <w:t xml:space="preserve">Data:</w:t>
      </w:r>
      <w:r>
        <w:t xml:space="preserve"> there is a risk of false weights at drop-off points. Three-point matching, operator staking and independent audits reduce it.</w:t>
      </w:r>
    </w:p>
    <w:p>
      <w:pPr>
        <w:pStyle w:val="ListParagraph"/>
        <w:numPr>
          <w:ilvl w:val="0"/>
          <w:numId w:val="2"/>
        </w:numPr>
        <w:spacing w:after="80"/>
      </w:pPr>
      <w:r>
        <w:rPr>
          <w:b/>
          <w:bCs/>
        </w:rPr>
        <w:t xml:space="preserve">Certification:</w:t>
      </w:r>
      <w:r>
        <w:t xml:space="preserve"> filing under the Verra Plastic Program is not guaranteed to be approved; credit revenue starts only after the project is certified.</w:t>
      </w:r>
    </w:p>
    <w:p>
      <w:pPr>
        <w:pStyle w:val="ListParagraph"/>
        <w:numPr>
          <w:ilvl w:val="0"/>
          <w:numId w:val="2"/>
        </w:numPr>
        <w:spacing w:after="80"/>
      </w:pPr>
      <w:r>
        <w:rPr>
          <w:b/>
          <w:bCs/>
        </w:rPr>
        <w:t xml:space="preserve">Market:</w:t>
      </w:r>
      <w:r>
        <w:t xml:space="preserve"> the price of $ATMX may be volatile and holders may lose part or all of its value.</w:t>
      </w:r>
    </w:p>
    <w:p>
      <w:pPr>
        <w:pStyle w:val="Heading1"/>
      </w:pPr>
      <w:r>
        <w:t xml:space="preserve">Sources</w:t>
      </w:r>
    </w:p>
    <w:p>
      <w:pPr>
        <w:pStyle w:val="ListParagraph"/>
        <w:numPr>
          <w:ilvl w:val="0"/>
          <w:numId w:val="2"/>
        </w:numPr>
        <w:spacing w:after="80"/>
      </w:pPr>
      <w:hyperlink w:history="1" r:id="rIdjqt1uod9vav9xydda7gv6">
        <w:r>
          <w:rPr>
            <w:color w:val="6D3FE0"/>
            <w:u w:val="single"/>
          </w:rPr>
          <w:t xml:space="preserve">US EPA – National Overview: Facts and Figures on Materials, Wastes and Recycling</w:t>
        </w:r>
      </w:hyperlink>
    </w:p>
    <w:p>
      <w:pPr>
        <w:pStyle w:val="ListParagraph"/>
        <w:numPr>
          <w:ilvl w:val="0"/>
          <w:numId w:val="2"/>
        </w:numPr>
        <w:spacing w:after="80"/>
      </w:pPr>
      <w:hyperlink w:history="1" r:id="rId3svpexvscfae9pmgdgt4w">
        <w:r>
          <w:rPr>
            <w:color w:val="6D3FE0"/>
            <w:u w:val="single"/>
          </w:rPr>
          <w:t xml:space="preserve">Eurostat – 41% of plastic packaging waste recycled in 2022</w:t>
        </w:r>
      </w:hyperlink>
    </w:p>
    <w:p>
      <w:pPr>
        <w:pStyle w:val="ListParagraph"/>
        <w:numPr>
          <w:ilvl w:val="0"/>
          <w:numId w:val="2"/>
        </w:numPr>
        <w:spacing w:after="80"/>
      </w:pPr>
      <w:hyperlink w:history="1" r:id="rIdageknpc5lltxyyhrc9ksw">
        <w:r>
          <w:rPr>
            <w:color w:val="6D3FE0"/>
            <w:u w:val="single"/>
          </w:rPr>
          <w:t xml:space="preserve">Verra – Five things you should know about plastic credits</w:t>
        </w:r>
      </w:hyperlink>
    </w:p>
    <w:sectPr>
      <w:footerReference w:type="default" r:id="rId7"/>
      <w:pgSz w:w="11906" w:h="16838" w:orient="portrait"/>
      <w:pgMar w:top="1440" w:right="1440" w:bottom="13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5E5A6B"/>
        <w:sz w:val="16"/>
        <w:szCs w:val="16"/>
      </w:rPr>
      <w:t xml:space="preserve">ATOMYX ($ATMX) Whitepaper  ·  </w:t>
    </w:r>
    <w:r>
      <w:rPr>
        <w:color w:val="5E5A6B"/>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00"/>
      </w:pPr>
      <w:rPr>
        <w:color w:val="12A36A"/>
      </w:rPr>
    </w:lvl>
  </w:abstractNum>
  <w:abstractNum w:abstractNumId="3" w15:restartNumberingAfterBreak="0">
    <w:multiLevelType w:val="hybridMultilevel"/>
    <w:lvl w:ilvl="0" w15:tentative="1">
      <w:start w:val="1"/>
      <w:numFmt w:val="decimal"/>
      <w:lvlText w:val="%1."/>
      <w:lvlJc w:val="left"/>
      <w:pPr>
        <w:ind w:left="540" w:hanging="360"/>
      </w:pPr>
      <w:rPr>
        <w:b/>
        <w:bCs/>
        <w:color w:val="6D3FE0"/>
      </w:rPr>
    </w:lvl>
  </w:abstractNum>
  <w:abstractNum w:abstractNumId="4" w15:restartNumberingAfterBreak="0">
    <w:multiLevelType w:val="hybridMultilevel"/>
    <w:lvl w:ilvl="0" w15:tentative="1">
      <w:start w:val="1"/>
      <w:numFmt w:val="decimal"/>
      <w:lvlText w:val="%1."/>
      <w:lvlJc w:val="left"/>
      <w:pPr>
        <w:ind w:left="540" w:hanging="360"/>
      </w:pPr>
      <w:rPr>
        <w:b/>
        <w:bCs/>
        <w:color w:val="6D3FE0"/>
      </w:rPr>
    </w:lvl>
  </w:abstractNum>
  <w:abstractNum w:abstractNumId="5" w15:restartNumberingAfterBreak="0">
    <w:multiLevelType w:val="hybridMultilevel"/>
    <w:lvl w:ilvl="0" w15:tentative="1">
      <w:start w:val="1"/>
      <w:numFmt w:val="decimal"/>
      <w:lvlText w:val="%1."/>
      <w:lvlJc w:val="left"/>
      <w:pPr>
        <w:ind w:left="540" w:hanging="360"/>
      </w:pPr>
      <w:rPr>
        <w:b/>
        <w:bCs/>
        <w:color w:val="6D3FE0"/>
      </w:rPr>
    </w:lvl>
  </w:abstractNum>
  <w:abstractNum w:abstractNumId="6" w15:restartNumberingAfterBreak="0">
    <w:multiLevelType w:val="hybridMultilevel"/>
    <w:lvl w:ilvl="0" w15:tentative="1">
      <w:start w:val="1"/>
      <w:numFmt w:val="decimal"/>
      <w:lvlText w:val="%1."/>
      <w:lvlJc w:val="left"/>
      <w:pPr>
        <w:ind w:left="540" w:hanging="360"/>
      </w:pPr>
      <w:rPr>
        <w:b/>
        <w:bCs/>
        <w:color w:val="6D3FE0"/>
      </w:rPr>
    </w:lvl>
  </w:abstractNum>
  <w:abstractNum w:abstractNumId="7" w15:restartNumberingAfterBreak="0">
    <w:multiLevelType w:val="hybridMultilevel"/>
    <w:lvl w:ilvl="0" w15:tentative="1">
      <w:start w:val="1"/>
      <w:numFmt w:val="decimal"/>
      <w:lvlText w:val="%1."/>
      <w:lvlJc w:val="left"/>
      <w:pPr>
        <w:ind w:left="540" w:hanging="360"/>
      </w:pPr>
      <w:rPr>
        <w:b/>
        <w:bCs/>
        <w:color w:val="6D3FE0"/>
      </w:rPr>
    </w:lvl>
  </w:abstractNum>
  <w:abstractNum w:abstractNumId="8" w15:restartNumberingAfterBreak="0">
    <w:multiLevelType w:val="hybridMultilevel"/>
    <w:lvl w:ilvl="0" w15:tentative="1">
      <w:start w:val="1"/>
      <w:numFmt w:val="decimal"/>
      <w:lvlText w:val="%1."/>
      <w:lvlJc w:val="left"/>
      <w:pPr>
        <w:ind w:left="540" w:hanging="360"/>
      </w:pPr>
      <w:rPr>
        <w:b/>
        <w:bCs/>
        <w:color w:val="6D3FE0"/>
      </w:rPr>
    </w:lvl>
  </w:abstractNum>
  <w:abstractNum w:abstractNumId="9" w15:restartNumberingAfterBreak="0">
    <w:multiLevelType w:val="hybridMultilevel"/>
    <w:lvl w:ilvl="0" w15:tentative="1">
      <w:start w:val="1"/>
      <w:numFmt w:val="decimal"/>
      <w:lvlText w:val="%1."/>
      <w:lvlJc w:val="left"/>
      <w:pPr>
        <w:ind w:left="540" w:hanging="360"/>
      </w:pPr>
      <w:rPr>
        <w:b/>
        <w:bCs/>
        <w:color w:val="6D3FE0"/>
      </w:rPr>
    </w:lvl>
  </w:abstractNum>
  <w:abstractNum w:abstractNumId="10" w15:restartNumberingAfterBreak="0">
    <w:multiLevelType w:val="hybridMultilevel"/>
    <w:lvl w:ilvl="0" w15:tentative="1">
      <w:start w:val="1"/>
      <w:numFmt w:val="decimal"/>
      <w:lvlText w:val="%1."/>
      <w:lvlJc w:val="left"/>
      <w:pPr>
        <w:ind w:left="540" w:hanging="360"/>
      </w:pPr>
      <w:rPr>
        <w:b/>
        <w:bCs/>
        <w:color w:val="6D3FE0"/>
      </w:rPr>
    </w:lvl>
  </w:abstractNum>
  <w:abstractNum w:abstractNumId="11" w15:restartNumberingAfterBreak="0">
    <w:multiLevelType w:val="hybridMultilevel"/>
    <w:lvl w:ilvl="0" w15:tentative="1">
      <w:start w:val="1"/>
      <w:numFmt w:val="decimal"/>
      <w:lvlText w:val="%1."/>
      <w:lvlJc w:val="left"/>
      <w:pPr>
        <w:ind w:left="540" w:hanging="360"/>
      </w:pPr>
      <w:rPr>
        <w:b/>
        <w:bCs/>
        <w:color w:val="6D3FE0"/>
      </w:rPr>
    </w:lvl>
  </w:abstractNum>
  <w:abstractNum w:abstractNumId="12" w15:restartNumberingAfterBreak="0">
    <w:multiLevelType w:val="hybridMultilevel"/>
    <w:lvl w:ilvl="0" w15:tentative="1">
      <w:start w:val="1"/>
      <w:numFmt w:val="decimal"/>
      <w:lvlText w:val="%1."/>
      <w:lvlJc w:val="left"/>
      <w:pPr>
        <w:ind w:left="540" w:hanging="360"/>
      </w:pPr>
      <w:rPr>
        <w:b/>
        <w:bCs/>
        <w:color w:val="6D3FE0"/>
      </w:rPr>
    </w:lvl>
  </w:abstractNum>
  <w:abstractNum w:abstractNumId="13" w15:restartNumberingAfterBreak="0">
    <w:multiLevelType w:val="hybridMultilevel"/>
    <w:lvl w:ilvl="0" w15:tentative="1">
      <w:start w:val="1"/>
      <w:numFmt w:val="decimal"/>
      <w:lvlText w:val="%1."/>
      <w:lvlJc w:val="left"/>
      <w:pPr>
        <w:ind w:left="540" w:hanging="360"/>
      </w:pPr>
      <w:rPr>
        <w:b/>
        <w:bCs/>
        <w:color w:val="6D3FE0"/>
      </w:rPr>
    </w:lvl>
  </w:abstractNum>
  <w:abstractNum w:abstractNumId="14" w15:restartNumberingAfterBreak="0">
    <w:multiLevelType w:val="hybridMultilevel"/>
    <w:lvl w:ilvl="0" w15:tentative="1">
      <w:start w:val="1"/>
      <w:numFmt w:val="decimal"/>
      <w:lvlText w:val="%1."/>
      <w:lvlJc w:val="left"/>
      <w:pPr>
        <w:ind w:left="540" w:hanging="360"/>
      </w:pPr>
      <w:rPr>
        <w:b/>
        <w:bCs/>
        <w:color w:val="6D3FE0"/>
      </w:rPr>
    </w:lvl>
  </w:abstractNum>
  <w:abstractNum w:abstractNumId="15" w15:restartNumberingAfterBreak="0">
    <w:multiLevelType w:val="hybridMultilevel"/>
    <w:lvl w:ilvl="0" w15:tentative="1">
      <w:start w:val="1"/>
      <w:numFmt w:val="decimal"/>
      <w:lvlText w:val="%1."/>
      <w:lvlJc w:val="left"/>
      <w:pPr>
        <w:ind w:left="540" w:hanging="360"/>
      </w:pPr>
      <w:rPr>
        <w:b/>
        <w:bCs/>
        <w:color w:val="6D3FE0"/>
      </w:rPr>
    </w:lvl>
  </w:abstractNum>
  <w:num w:numId="1">
    <w:abstractNumId w:val="1"/>
    <w:lvlOverride w:ilvl="0">
      <w:startOverride w:val="1"/>
    </w:lvlOverride>
  </w:num>
  <w:num w:numId="2">
    <w:abstractNumId w:val="2"/>
    <w:lvlOverride w:ilvl="0">
      <w:startOverride w:val="1"/>
    </w:lvlOverride>
  </w:num>
  <w:num w:numId="3">
    <w:abstractNumId w:val="7"/>
    <w:lvlOverride w:ilvl="0">
      <w:startOverride w:val="1"/>
    </w:lvlOverride>
  </w:num>
  <w:num w:numId="4">
    <w:abstractNumId w:val="10"/>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5131C"/>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C9B8FF" w:sz="6" w:space="4"/>
      </w:pBdr>
      <w:spacing w:after="180" w:before="420"/>
      <w:outlineLvl w:val="0"/>
    </w:pPr>
    <w:rPr>
      <w:rFonts w:ascii="Arial" w:cs="Arial" w:eastAsia="Arial" w:hAnsi="Arial"/>
      <w:b/>
      <w:bCs/>
      <w:color w:val="15131C"/>
      <w:sz w:val="34"/>
      <w:szCs w:val="3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rzcgio0mdmdq_hqxb40d" Type="http://schemas.openxmlformats.org/officeDocument/2006/relationships/hyperlink" Target="https://www.epa.gov/facts-and-figures-about-materials-waste-and-recycling/national-overview-facts-and-figures-materials" TargetMode="External"/><Relationship Id="rIdy6frnat20d6luyrvzinj5" Type="http://schemas.openxmlformats.org/officeDocument/2006/relationships/hyperlink" Target="https://ec.europa.eu/eurostat/en/web/products-eurostat-news/w/ddn-20241024-3" TargetMode="External"/><Relationship Id="rIdt2dcmvtfmnhudqjljgfhu" Type="http://schemas.openxmlformats.org/officeDocument/2006/relationships/hyperlink" Target="https://verra.org/five-things-you-should-know-about-plastic-credits/" TargetMode="External"/><Relationship Id="rIdjqt1uod9vav9xydda7gv6" Type="http://schemas.openxmlformats.org/officeDocument/2006/relationships/hyperlink" Target="https://www.epa.gov/facts-and-figures-about-materials-waste-and-recycling/national-overview-facts-and-figures-materials" TargetMode="External"/><Relationship Id="rId3svpexvscfae9pmgdgt4w" Type="http://schemas.openxmlformats.org/officeDocument/2006/relationships/hyperlink" Target="https://ec.europa.eu/eurostat/en/web/products-eurostat-news/w/ddn-20241024-3" TargetMode="External"/><Relationship Id="rIdageknpc5lltxyyhrc9ksw" Type="http://schemas.openxmlformats.org/officeDocument/2006/relationships/hyperlink" Target="https://verra.org/five-things-you-should-know-about-plastic-credits/" TargetMode="External"/><Relationship Id="rId8" Type="http://schemas.openxmlformats.org/officeDocument/2006/relationships/image" Target="media/c9be7595401e4117844ffd4c054ea4107869a89f.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ATOMYX ($ATMX) Whitepaper</dc:title>
  <dc:creator>ATOMYX</dc:creator>
  <cp:lastModifiedBy>Un-named</cp:lastModifiedBy>
  <cp:revision>1</cp:revision>
  <dcterms:created xsi:type="dcterms:W3CDTF">2026-10-10T08:39:42.994Z</dcterms:created>
  <dcterms:modified xsi:type="dcterms:W3CDTF">2026-10-10T08:39:42.994Z</dcterms:modified>
</cp:coreProperties>
</file>

<file path=docProps/custom.xml><?xml version="1.0" encoding="utf-8"?>
<Properties xmlns="http://schemas.openxmlformats.org/officeDocument/2006/custom-properties" xmlns:vt="http://schemas.openxmlformats.org/officeDocument/2006/docPropsVTypes"/>
</file>